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975.xml.htm"/>
      <w:bookmarkStart w:id="1" w:name="kswkform4_17847519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REIFF MELISSA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677</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113,155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dividend equivalent restricted stock units that were granted in connection with a recurring semi-annual cash dividend of $.10 per share to holders of the issuer's stock, paid on July 21, 2026, to stockholders of record at the close of business on July 7, 2026. Holders of restricted stock units that were unvested on the record date were automatically credited with a dividend equivalent based on the value of the per share dividend pursuant to the terms of the issuer's equity incentive documents.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723"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3510</Characters>
  <CharactersWithSpaces>4096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