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color w:val="auto"/>
        </w:rPr>
        <w:t>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9" w:lineRule="exact"/>
        <w:rPr>
          <w:sz w:val="24"/>
          <w:szCs w:val="24"/>
          <w:color w:val="auto"/>
        </w:rPr>
      </w:pPr>
    </w:p>
    <w:p>
      <w:pPr>
        <w:ind w:left="4140"/>
        <w:spacing w:after="0"/>
        <w:rPr>
          <w:sz w:val="20"/>
          <w:szCs w:val="20"/>
          <w:color w:val="auto"/>
        </w:rPr>
      </w:pPr>
      <w:r>
        <w:rPr>
          <w:rFonts w:ascii="Arial" w:cs="Arial" w:eastAsia="Arial" w:hAnsi="Arial"/>
          <w:sz w:val="16"/>
          <w:szCs w:val="16"/>
          <w:color w:val="auto"/>
        </w:rPr>
        <w:t>_________________________________</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 w:lineRule="exact"/>
        <w:rPr>
          <w:sz w:val="24"/>
          <w:szCs w:val="24"/>
          <w:color w:val="auto"/>
        </w:rPr>
      </w:pPr>
    </w:p>
    <w:p>
      <w:pPr>
        <w:ind w:left="4040"/>
        <w:spacing w:after="0"/>
        <w:rPr>
          <w:sz w:val="20"/>
          <w:szCs w:val="20"/>
          <w:color w:val="auto"/>
        </w:rPr>
      </w:pPr>
      <w:r>
        <w:rPr>
          <w:rFonts w:ascii="Arial" w:cs="Arial" w:eastAsia="Arial" w:hAnsi="Arial"/>
          <w:sz w:val="20"/>
          <w:szCs w:val="20"/>
          <w:b w:val="1"/>
          <w:bCs w:val="1"/>
          <w:color w:val="auto"/>
        </w:rPr>
        <w:t>Pursuant to Section 13 or 15(d) of</w:t>
      </w:r>
    </w:p>
    <w:p>
      <w:pPr>
        <w:spacing w:after="0" w:line="13" w:lineRule="exact"/>
        <w:rPr>
          <w:sz w:val="24"/>
          <w:szCs w:val="24"/>
          <w:color w:val="auto"/>
        </w:rPr>
      </w:pPr>
    </w:p>
    <w:p>
      <w:pPr>
        <w:ind w:left="3900"/>
        <w:spacing w:after="0"/>
        <w:rPr>
          <w:sz w:val="20"/>
          <w:szCs w:val="20"/>
          <w:color w:val="auto"/>
        </w:rPr>
      </w:pPr>
      <w:r>
        <w:rPr>
          <w:rFonts w:ascii="Arial" w:cs="Arial" w:eastAsia="Arial" w:hAnsi="Arial"/>
          <w:sz w:val="20"/>
          <w:szCs w:val="20"/>
          <w:b w:val="1"/>
          <w:bCs w:val="1"/>
          <w:color w:val="auto"/>
        </w:rPr>
        <w:t>The Securities Exchange Act of 1934</w:t>
      </w:r>
    </w:p>
    <w:p>
      <w:pPr>
        <w:jc w:val="center"/>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October 22, 2026</w:t>
      </w:r>
    </w:p>
    <w:p>
      <w:pPr>
        <w:ind w:left="4100"/>
        <w:spacing w:after="0"/>
        <w:rPr>
          <w:sz w:val="20"/>
          <w:szCs w:val="20"/>
          <w:color w:val="auto"/>
        </w:rPr>
      </w:pPr>
      <w:r>
        <w:rPr>
          <w:rFonts w:ascii="Arial" w:cs="Arial" w:eastAsia="Arial" w:hAnsi="Arial"/>
          <w:sz w:val="16"/>
          <w:szCs w:val="16"/>
          <w:color w:val="auto"/>
        </w:rPr>
        <w:t>__________________________________</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Cricut,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 w:lineRule="exact"/>
        <w:rPr>
          <w:sz w:val="24"/>
          <w:szCs w:val="24"/>
          <w:color w:val="auto"/>
        </w:rPr>
      </w:pPr>
    </w:p>
    <w:p>
      <w:pPr>
        <w:ind w:left="4040"/>
        <w:spacing w:after="0"/>
        <w:rPr>
          <w:sz w:val="20"/>
          <w:szCs w:val="20"/>
          <w:color w:val="auto"/>
        </w:rPr>
      </w:pPr>
      <w:r>
        <w:rPr>
          <w:rFonts w:ascii="Arial" w:cs="Arial" w:eastAsia="Arial" w:hAnsi="Arial"/>
          <w:sz w:val="16"/>
          <w:szCs w:val="16"/>
          <w:color w:val="auto"/>
        </w:rPr>
        <w:t>___________________________________</w:t>
      </w:r>
    </w:p>
    <w:p>
      <w:pPr>
        <w:sectPr>
          <w:pgSz w:w="11900" w:h="16838" w:orient="portrait"/>
          <w:cols w:equalWidth="0" w:num="1">
            <w:col w:w="11240"/>
          </w:cols>
          <w:pgMar w:left="320" w:top="1338" w:right="339" w:bottom="1440" w:gutter="0" w:footer="0" w:header="0"/>
        </w:sectPr>
      </w:pPr>
    </w:p>
    <w:p>
      <w:pPr>
        <w:spacing w:after="0" w:line="38"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jc w:val="center"/>
        <w:ind w:right="2220"/>
        <w:spacing w:after="0"/>
        <w:rPr>
          <w:sz w:val="20"/>
          <w:szCs w:val="20"/>
          <w:color w:val="auto"/>
        </w:rPr>
      </w:pPr>
      <w:r>
        <w:rPr>
          <w:rFonts w:ascii="Arial" w:cs="Arial" w:eastAsia="Arial" w:hAnsi="Arial"/>
          <w:sz w:val="17"/>
          <w:szCs w:val="17"/>
          <w:b w:val="1"/>
          <w:bCs w:val="1"/>
          <w:color w:val="auto"/>
        </w:rPr>
        <w:t>001-40257</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87-0282025</w:t>
      </w:r>
    </w:p>
    <w:p>
      <w:pPr>
        <w:spacing w:after="0" w:line="51" w:lineRule="exact"/>
        <w:rPr>
          <w:sz w:val="24"/>
          <w:szCs w:val="24"/>
          <w:color w:val="auto"/>
        </w:rPr>
      </w:pPr>
    </w:p>
    <w:p>
      <w:pPr>
        <w:sectPr>
          <w:pgSz w:w="11900" w:h="16838" w:orient="portrait"/>
          <w:cols w:equalWidth="0" w:num="3">
            <w:col w:w="4320" w:space="720"/>
            <w:col w:w="3080" w:space="720"/>
            <w:col w:w="2400"/>
          </w:cols>
          <w:pgMar w:left="320" w:top="1338" w:right="33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1" w:lineRule="exact"/>
        <w:rPr>
          <w:sz w:val="24"/>
          <w:szCs w:val="24"/>
          <w:color w:val="auto"/>
        </w:rPr>
      </w:pPr>
    </w:p>
    <w:p>
      <w:pPr>
        <w:sectPr>
          <w:pgSz w:w="11900" w:h="16838" w:orient="portrait"/>
          <w:cols w:equalWidth="0" w:num="3">
            <w:col w:w="3900" w:space="720"/>
            <w:col w:w="2560" w:space="720"/>
            <w:col w:w="3340"/>
          </w:cols>
          <w:pgMar w:left="320" w:top="1338" w:right="339" w:bottom="1440" w:gutter="0" w:footer="0" w:header="0"/>
          <w:type w:val="continuous"/>
        </w:sectPr>
      </w:pPr>
    </w:p>
    <w:p>
      <w:pPr>
        <w:ind w:left="1300"/>
        <w:spacing w:after="0" w:line="234" w:lineRule="auto"/>
        <w:rPr>
          <w:sz w:val="20"/>
          <w:szCs w:val="20"/>
          <w:color w:val="auto"/>
        </w:rPr>
      </w:pPr>
      <w:r>
        <w:rPr>
          <w:rFonts w:ascii="Arial" w:cs="Arial" w:eastAsia="Arial" w:hAnsi="Arial"/>
          <w:sz w:val="16"/>
          <w:szCs w:val="16"/>
          <w:color w:val="auto"/>
        </w:rPr>
        <w:t>organization)</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10855 South River Front Parkway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Jordan, Utah 84095</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(385) 351-0633</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2" w:lineRule="exact"/>
        <w:rPr>
          <w:sz w:val="24"/>
          <w:szCs w:val="24"/>
          <w:color w:val="auto"/>
        </w:rPr>
      </w:pPr>
    </w:p>
    <w:p>
      <w:pPr>
        <w:ind w:left="3960"/>
        <w:spacing w:after="0"/>
        <w:rPr>
          <w:sz w:val="20"/>
          <w:szCs w:val="20"/>
          <w:color w:val="auto"/>
        </w:rPr>
      </w:pPr>
      <w:r>
        <w:rPr>
          <w:rFonts w:ascii="Arial" w:cs="Arial" w:eastAsia="Arial" w:hAnsi="Arial"/>
          <w:sz w:val="16"/>
          <w:szCs w:val="16"/>
          <w:color w:val="auto"/>
        </w:rPr>
        <w:t>_____________________________________</w:t>
      </w:r>
    </w:p>
    <w:p>
      <w:pPr>
        <w:sectPr>
          <w:pgSz w:w="11900" w:h="16838" w:orient="portrait"/>
          <w:cols w:equalWidth="0" w:num="1">
            <w:col w:w="11240"/>
          </w:cols>
          <w:pgMar w:left="320" w:top="1338" w:right="339" w:bottom="1440" w:gutter="0" w:footer="0" w:header="0"/>
          <w:type w:val="continuous"/>
        </w:sectPr>
      </w:pPr>
    </w:p>
    <w:p>
      <w:pPr>
        <w:spacing w:after="0" w:line="92"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0"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00" w:type="dxa"/>
            <w:vAlign w:val="bottom"/>
          </w:tcPr>
          <w:p>
            <w:pPr>
              <w:spacing w:after="0"/>
              <w:rPr>
                <w:sz w:val="18"/>
                <w:szCs w:val="18"/>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100" w:type="dxa"/>
            <w:vAlign w:val="bottom"/>
          </w:tcPr>
          <w:p>
            <w:pPr>
              <w:spacing w:after="0"/>
              <w:rPr>
                <w:sz w:val="18"/>
                <w:szCs w:val="18"/>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22"/>
        </w:trPr>
        <w:tc>
          <w:tcPr>
            <w:tcW w:w="3980" w:type="dxa"/>
            <w:vAlign w:val="bottom"/>
            <w:gridSpan w:val="2"/>
          </w:tcPr>
          <w:p>
            <w:pPr>
              <w:jc w:val="center"/>
              <w:ind w:right="80"/>
              <w:spacing w:after="0"/>
              <w:rPr>
                <w:sz w:val="20"/>
                <w:szCs w:val="20"/>
                <w:color w:val="auto"/>
              </w:rPr>
            </w:pPr>
            <w:r>
              <w:rPr>
                <w:rFonts w:ascii="Arial" w:cs="Arial" w:eastAsia="Arial" w:hAnsi="Arial"/>
                <w:sz w:val="16"/>
                <w:szCs w:val="16"/>
                <w:color w:val="auto"/>
              </w:rPr>
              <w:t>Class A Common Stock, par value $0.001 per share</w:t>
            </w: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CRCT</w:t>
            </w:r>
          </w:p>
        </w:tc>
        <w:tc>
          <w:tcPr>
            <w:tcW w:w="38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199"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5"/>
          <w:szCs w:val="15"/>
          <w:color w:val="auto"/>
        </w:rPr>
        <w:t>☐</w:t>
      </w:r>
    </w:p>
    <w:p>
      <w:pPr>
        <w:spacing w:after="0" w:line="146" w:lineRule="exact"/>
        <w:rPr>
          <w:sz w:val="24"/>
          <w:szCs w:val="24"/>
          <w:color w:val="auto"/>
        </w:rPr>
      </w:pPr>
    </w:p>
    <w:p>
      <w:pPr>
        <w:ind w:right="20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22, 2026, Cricut, Inc. (the “Company”) entered into a Credit Agreement (the “Credit Agreement”) by and among the Company, the other loan parties party thereto, the lenders party thereto and BMO Bank N.A., as administrative agent (the “Administrative Agent”). The Credit Agreement replaces the Company’s prior Credit Agreement, dated as of August 4, 2022, by and among the Company, JPMorgan Chase Bank, N.A., as administrative agent, and the lenders party thereto (the “Prior Credit Agreement”).</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Credit Agreement provides for a five-year, senior secured, multicurrency revolving credit facility with aggregate commitments of $300.0 million (the “Credit Facility”). The Credit Facility matures on October 22, 2031.</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Subject to the satisfaction of customary conditions, the Company may use the Credit Facility for working capital needs and general corporate purposes, including permitted acquisitions and share repurchases. The Credit Facility includes a $35.0 million letter-of-credit sublimit and a $30.0 million foreign-currency sublimit. The Company may borrow, repay and reborrow revolving loans during the availability period and may prepay borrowings at any time without premium or penalty, subject to customary breakage costs. The Company may also request incremental revolving commitments and/or incremental term loans in a minimum amount of $25.0 million, subject to customary conditions and the applicable consent rights, provided that the aggregate amount of such incremental facilities may not exceed the greater of $225.0 million and 1.5 times Consolidated EBITDA, as defined in the Credit Agreement.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Credit Facility bear interest, at the Company’s option, at either (i) the Adjusted Term SOFR Rate or another applicable term benchmark or risk-free rate, as applicable, plus an applicable margin ranging from 1.125% to 2.00%, or (ii) the Alternate Base Rate plus an applicable margin ranging from 0.125% to 1.00%, in each case based on the Company’s Net Leverage Ratio, as defined in the Credit Agreement. The Company is required to pay a commitment fee on undrawn revolving commitments at a rate ranging from 0.125% to 0.225%, based on its Net Leverage Ratio. The applicable benchmark rate floors are 0.00%.</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obligations under the Credit Facility are guaranteed by the Company’s loan-party subsidiaries and are secured by substantially all of the assets of the Company and the loan-party subsidiaries, subject to customary exceptions. The Credit Agreement contains customary affirmative and negative covenants, including limitations on indebtedness, liens, fundamental changes, investments, asset sales, restricted payments and affiliate transactions. The Credit Agreement also requires the Company to maintain a maximum Net Leverage Ratio of 3.00 to 1.00 and a minimum Interest Coverage Ratio of 3.00 to 1.00. Following a permitted acquisition for which the aggregate consideration exceeds $75.0 million, the Company may elect to increase the maximum Net Leverage Ratio to 3.50 to 1.00 for four consecutive fiscal quarters, subject to the terms of the Credit Agreement. The Credit Agreement permits the Company to pay dividends and repurchase shares without specific dollar limitation, subject to the absence of a default and compliance with a maximum Net Leverage Ratio of 2.5 to 1.00, on a pro forma basis.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contains customary events of default, including payment defaults, covenant defaults, cross-defaults to certain material indebtedness, bankruptcy and insolvency events, material judgment defaults and change of control events. Upon the occurrence and during the continuance of an event of default, the Administrative Agent may, or at the request of the required lenders shall, terminate the commitments, accelerate the outstanding obligations and exercise other customary remedies, subject to the terms of the Credit Agreement.</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foregoing description of the Credit Agreement does not purport to be complete and is qualified in its entirety by reference to the Credit Agreement, a copy of which is filed as Exhibit 10.1 to this Current Report on Form 8-K and incorporated herein by reference.</w:t>
      </w:r>
    </w:p>
    <w:p>
      <w:pPr>
        <w:spacing w:after="0" w:line="9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Termination of a Material Definitive Agreement.</w:t>
      </w:r>
    </w:p>
    <w:p>
      <w:pPr>
        <w:spacing w:after="0" w:line="171"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In connection with entering into the Credit Agreement, the Company terminated the Prior Credit Agreement on October 22, 2026. As of the termination date, no principal amount was outstanding under the Prior Credit Agreement. The liens securing the obligations under the Prior Credit Agreement were released in accordance with the payoff letter and related release documents. No material early termination penalties were incurred in connection with the termination of the Prior Credit Agreement.</w:t>
      </w:r>
    </w:p>
    <w:p>
      <w:pPr>
        <w:spacing w:after="0" w:line="12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7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(d)</w:t>
        <w:tab/>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689610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tbl>
      <w:tblPr>
        <w:tblLayout w:type="fixed"/>
        <w:tblInd w:w="220" w:type="dxa"/>
        <w:tblCellMar>
          <w:top w:w="0" w:type="dxa"/>
          <w:left w:w="0" w:type="dxa"/>
          <w:bottom w:w="0" w:type="dxa"/>
          <w:right w:w="0" w:type="dxa"/>
        </w:tblCellMar>
      </w:tblPr>
      <w:tr>
        <w:trPr>
          <w:trHeight w:val="227"/>
        </w:trPr>
        <w:tc>
          <w:tcPr>
            <w:tcW w:w="16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rPr>
              <w:t>Exhibit Number</w:t>
            </w: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Exhibit Description</w:t>
            </w:r>
          </w:p>
        </w:tc>
        <w:tc>
          <w:tcPr>
            <w:tcW w:w="3680" w:type="dxa"/>
            <w:vAlign w:val="bottom"/>
            <w:vMerge w:val="restart"/>
          </w:tcPr>
          <w:p>
            <w:pPr>
              <w:spacing w:after="0"/>
              <w:rPr>
                <w:sz w:val="19"/>
                <w:szCs w:val="19"/>
                <w:color w:val="auto"/>
              </w:rPr>
            </w:pPr>
          </w:p>
        </w:tc>
        <w:tc>
          <w:tcPr>
            <w:tcW w:w="38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20" w:type="dxa"/>
            <w:vAlign w:val="bottom"/>
            <w:gridSpan w:val="2"/>
            <w:vMerge w:val="continu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8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9200" w:type="dxa"/>
            <w:vAlign w:val="bottom"/>
            <w:gridSpan w:val="4"/>
          </w:tcPr>
          <w:p>
            <w:pPr>
              <w:spacing w:after="0"/>
              <w:rPr>
                <w:sz w:val="20"/>
                <w:szCs w:val="20"/>
                <w:color w:val="auto"/>
              </w:rPr>
            </w:pPr>
            <w:r>
              <w:rPr>
                <w:rFonts w:ascii="Arial" w:cs="Arial" w:eastAsia="Arial" w:hAnsi="Arial"/>
                <w:sz w:val="18"/>
                <w:szCs w:val="18"/>
                <w:color w:val="0000FF"/>
                <w:w w:val="99"/>
              </w:rPr>
              <w:t>Credit Agreement, dated as of October 22, 2026, by and among Cricut, Inc., the other loan parties party thereto, the</w:t>
            </w: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180" w:type="dxa"/>
            <w:vAlign w:val="bottom"/>
            <w:tcBorders>
              <w:top w:val="single" w:sz="8" w:color="0000FF"/>
            </w:tcBorders>
            <w:gridSpan w:val="3"/>
          </w:tcPr>
          <w:p>
            <w:pPr>
              <w:spacing w:after="0" w:line="156" w:lineRule="exact"/>
              <w:rPr>
                <w:sz w:val="20"/>
                <w:szCs w:val="20"/>
                <w:color w:val="auto"/>
              </w:rPr>
            </w:pPr>
            <w:r>
              <w:rPr>
                <w:rFonts w:ascii="Arial" w:cs="Arial" w:eastAsia="Arial" w:hAnsi="Arial"/>
                <w:sz w:val="18"/>
                <w:szCs w:val="18"/>
                <w:color w:val="0000FF"/>
              </w:rPr>
              <w:t>lenders party thereto and BMO Bank N.A., as administrative agent.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1820" w:hanging="1085"/>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(the cover page XBRL tags are embedded within the Inline XBRL document)</w:t>
      </w:r>
    </w:p>
    <w:p>
      <w:pPr>
        <w:spacing w:after="0" w:line="103"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Cricut, Inc.</w:t>
      </w:r>
    </w:p>
    <w:p>
      <w:pPr>
        <w:spacing w:after="0" w:line="293" w:lineRule="exact"/>
        <w:rPr>
          <w:sz w:val="20"/>
          <w:szCs w:val="20"/>
          <w:color w:val="auto"/>
        </w:rPr>
      </w:pPr>
    </w:p>
    <w:p>
      <w:pPr>
        <w:ind w:left="20"/>
        <w:spacing w:after="0"/>
        <w:tabs>
          <w:tab w:leader="none" w:pos="660" w:val="left"/>
          <w:tab w:leader="none" w:pos="7940" w:val="left"/>
        </w:tabs>
        <w:rPr>
          <w:sz w:val="20"/>
          <w:szCs w:val="20"/>
          <w:color w:val="auto"/>
        </w:rPr>
      </w:pPr>
      <w:r>
        <w:rPr>
          <w:rFonts w:ascii="Arial" w:cs="Arial" w:eastAsia="Arial" w:hAnsi="Arial"/>
          <w:sz w:val="18"/>
          <w:szCs w:val="18"/>
          <w:color w:val="auto"/>
        </w:rPr>
        <w:t>Date:</w:t>
        <w:tab/>
        <w:t>October 27, 2026</w:t>
      </w:r>
      <w:r>
        <w:rPr>
          <w:sz w:val="20"/>
          <w:szCs w:val="20"/>
          <w:color w:val="auto"/>
        </w:rPr>
        <w:tab/>
      </w:r>
      <w:r>
        <w:rPr>
          <w:rFonts w:ascii="Arial" w:cs="Arial" w:eastAsia="Arial" w:hAnsi="Arial"/>
          <w:sz w:val="17"/>
          <w:szCs w:val="17"/>
          <w:color w:val="auto"/>
        </w:rPr>
        <w:t>/s/ Kimball Shill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17780</wp:posOffset>
            </wp:positionV>
            <wp:extent cx="2091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Kimball Shill</w:t>
      </w:r>
    </w:p>
    <w:p>
      <w:pPr>
        <w:spacing w:after="0" w:line="32"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9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711835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1020445</wp:posOffset>
            </wp:positionV>
            <wp:extent cx="2417445"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1744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dated as of</w:t>
      </w:r>
    </w:p>
    <w:p>
      <w:pPr>
        <w:spacing w:after="0" w:line="24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October 22, 2026</w:t>
      </w:r>
    </w:p>
    <w:p>
      <w:pPr>
        <w:spacing w:after="0" w:line="200" w:lineRule="exact"/>
        <w:rPr>
          <w:sz w:val="20"/>
          <w:szCs w:val="20"/>
          <w:color w:val="auto"/>
        </w:rPr>
      </w:pPr>
    </w:p>
    <w:p>
      <w:pPr>
        <w:spacing w:after="0" w:line="2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among</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CRICUT, INC.,</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The Other Loan Parties Party Hereto,</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BMO BANK N.A.,</w:t>
      </w:r>
    </w:p>
    <w:p>
      <w:pPr>
        <w:spacing w:after="0" w:line="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2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KEYBANK, NATIONAL ASSOCIATION</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Co-Syndication Agents</w:t>
      </w:r>
    </w:p>
    <w:p>
      <w:pPr>
        <w:spacing w:after="0" w:line="2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BMO CAPITAL MARKETS CORP.,</w:t>
      </w:r>
    </w:p>
    <w:p>
      <w:pPr>
        <w:spacing w:after="0" w:line="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as Joint Lead Arranger and Sole Bookrunner</w:t>
      </w:r>
    </w:p>
    <w:p>
      <w:pPr>
        <w:spacing w:after="0" w:line="24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2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1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KEYBANK, NATIONAL ASSOCIATION</w:t>
      </w:r>
    </w:p>
    <w:p>
      <w:pPr>
        <w:spacing w:after="0" w:line="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342900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 w:name="page5"/>
    <w:bookmarkEnd w:id="4"/>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40" w:type="dxa"/>
            <w:vAlign w:val="bottom"/>
            <w:gridSpan w:val="13"/>
          </w:tcPr>
          <w:p>
            <w:pPr>
              <w:jc w:val="center"/>
              <w:ind w:right="420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r>
      <w:tr>
        <w:trPr>
          <w:trHeight w:val="439"/>
        </w:trPr>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w w:val="92"/>
              </w:rPr>
              <w:t>Page</w:t>
            </w:r>
          </w:p>
        </w:tc>
      </w:tr>
      <w:tr>
        <w:trPr>
          <w:trHeight w:val="453"/>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20" w:type="dxa"/>
            <w:vAlign w:val="bottom"/>
          </w:tcPr>
          <w:p>
            <w:pPr>
              <w:spacing w:after="0"/>
              <w:rPr>
                <w:sz w:val="24"/>
                <w:szCs w:val="24"/>
                <w:color w:val="auto"/>
              </w:rPr>
            </w:pPr>
          </w:p>
        </w:tc>
        <w:tc>
          <w:tcPr>
            <w:tcW w:w="172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Defined Terms  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20" w:type="dxa"/>
            <w:vAlign w:val="bottom"/>
          </w:tcPr>
          <w:p>
            <w:pPr>
              <w:spacing w:after="0"/>
              <w:rPr>
                <w:sz w:val="21"/>
                <w:szCs w:val="21"/>
                <w:color w:val="auto"/>
              </w:rPr>
            </w:pPr>
          </w:p>
        </w:tc>
        <w:tc>
          <w:tcPr>
            <w:tcW w:w="326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5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39</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1.03.</w:t>
            </w:r>
          </w:p>
        </w:tc>
        <w:tc>
          <w:tcPr>
            <w:tcW w:w="20" w:type="dxa"/>
            <w:vAlign w:val="bottom"/>
          </w:tcPr>
          <w:p>
            <w:pPr>
              <w:spacing w:after="0"/>
              <w:rPr>
                <w:sz w:val="20"/>
                <w:szCs w:val="20"/>
                <w:color w:val="auto"/>
              </w:rPr>
            </w:pPr>
          </w:p>
        </w:tc>
        <w:tc>
          <w:tcPr>
            <w:tcW w:w="1320" w:type="dxa"/>
            <w:vAlign w:val="bottom"/>
            <w:tcBorders>
              <w:top w:val="single" w:sz="8" w:color="auto"/>
              <w:bottom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auto"/>
                <w:w w:val="96"/>
              </w:rPr>
              <w:t>Terms Generally</w:t>
            </w:r>
          </w:p>
        </w:tc>
        <w:tc>
          <w:tcPr>
            <w:tcW w:w="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1.04.</w:t>
            </w:r>
          </w:p>
        </w:tc>
        <w:tc>
          <w:tcPr>
            <w:tcW w:w="20" w:type="dxa"/>
            <w:vAlign w:val="bottom"/>
          </w:tcPr>
          <w:p>
            <w:pPr>
              <w:spacing w:after="0"/>
              <w:rPr>
                <w:sz w:val="21"/>
                <w:szCs w:val="21"/>
                <w:color w:val="auto"/>
              </w:rPr>
            </w:pPr>
          </w:p>
        </w:tc>
        <w:tc>
          <w:tcPr>
            <w:tcW w:w="210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20"/>
                <w:szCs w:val="20"/>
                <w:color w:val="auto"/>
                <w:w w:val="96"/>
              </w:rPr>
              <w:t>Accounting Terms; GAAP</w:t>
            </w:r>
          </w:p>
        </w:tc>
        <w:tc>
          <w:tcPr>
            <w:tcW w:w="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40</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50"/>
        </w:trPr>
        <w:tc>
          <w:tcPr>
            <w:tcW w:w="552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SECTION 1.05.  Exchange Rates; Currency Equivalents.  41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478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SECTION 1.06.  Pro Forma Adjustments..  41</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1.07.</w:t>
            </w:r>
          </w:p>
        </w:tc>
        <w:tc>
          <w:tcPr>
            <w:tcW w:w="20" w:type="dxa"/>
            <w:vAlign w:val="bottom"/>
          </w:tcPr>
          <w:p>
            <w:pPr>
              <w:spacing w:after="0"/>
              <w:rPr>
                <w:sz w:val="21"/>
                <w:szCs w:val="21"/>
                <w:color w:val="auto"/>
              </w:rPr>
            </w:pPr>
          </w:p>
        </w:tc>
        <w:tc>
          <w:tcPr>
            <w:tcW w:w="16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20"/>
                <w:szCs w:val="20"/>
                <w:color w:val="auto"/>
                <w:w w:val="97"/>
              </w:rPr>
              <w:t>Status of Obligations</w:t>
            </w:r>
          </w:p>
        </w:tc>
        <w:tc>
          <w:tcPr>
            <w:tcW w:w="6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w w:val="79"/>
              </w:rPr>
              <w:t>42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6"/>
        </w:trPr>
        <w:tc>
          <w:tcPr>
            <w:tcW w:w="552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SECTION 1.08.  Interest Rates; Benchmark Notification.  42</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478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SECTION 1.09.  Letter of Credit Amounts.  42</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1.10.</w:t>
            </w:r>
          </w:p>
        </w:tc>
        <w:tc>
          <w:tcPr>
            <w:tcW w:w="20" w:type="dxa"/>
            <w:vAlign w:val="bottom"/>
          </w:tcPr>
          <w:p>
            <w:pPr>
              <w:spacing w:after="0"/>
              <w:rPr>
                <w:sz w:val="21"/>
                <w:szCs w:val="21"/>
                <w:color w:val="auto"/>
              </w:rPr>
            </w:pPr>
          </w:p>
        </w:tc>
        <w:tc>
          <w:tcPr>
            <w:tcW w:w="136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20"/>
                <w:szCs w:val="20"/>
                <w:color w:val="auto"/>
              </w:rPr>
              <w:t>Divisions.  43</w:t>
            </w: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237"/>
        </w:trPr>
        <w:tc>
          <w:tcPr>
            <w:tcW w:w="11240" w:type="dxa"/>
            <w:vAlign w:val="bottom"/>
            <w:gridSpan w:val="39"/>
          </w:tcPr>
          <w:p>
            <w:pPr>
              <w:spacing w:after="0"/>
              <w:rPr>
                <w:sz w:val="20"/>
                <w:szCs w:val="20"/>
                <w:color w:val="auto"/>
              </w:rPr>
            </w:pPr>
            <w:r>
              <w:rPr>
                <w:rFonts w:ascii="Times New Roman" w:cs="Times New Roman" w:eastAsia="Times New Roman" w:hAnsi="Times New Roman"/>
                <w:sz w:val="20"/>
                <w:szCs w:val="20"/>
                <w:color w:val="auto"/>
              </w:rPr>
              <w:t>SECTION 1.11.  Conversion of Non-Global Revolving Commitments.  43</w:t>
            </w:r>
          </w:p>
        </w:tc>
      </w:tr>
      <w:tr>
        <w:trPr>
          <w:trHeight w:val="20"/>
        </w:trPr>
        <w:tc>
          <w:tcPr>
            <w:tcW w:w="15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84"/>
        </w:trPr>
        <w:tc>
          <w:tcPr>
            <w:tcW w:w="2120" w:type="dxa"/>
            <w:vAlign w:val="bottom"/>
            <w:gridSpan w:val="7"/>
          </w:tcPr>
          <w:p>
            <w:pPr>
              <w:spacing w:after="0"/>
              <w:rPr>
                <w:sz w:val="20"/>
                <w:szCs w:val="20"/>
                <w:color w:val="auto"/>
              </w:rPr>
            </w:pPr>
            <w:r>
              <w:rPr>
                <w:rFonts w:ascii="Times New Roman" w:cs="Times New Roman" w:eastAsia="Times New Roman" w:hAnsi="Times New Roman"/>
                <w:sz w:val="20"/>
                <w:szCs w:val="20"/>
                <w:color w:val="010000"/>
              </w:rPr>
              <w:t xml:space="preserve">ARTICLE II </w:t>
            </w:r>
            <w:r>
              <w:rPr>
                <w:rFonts w:ascii="Times New Roman" w:cs="Times New Roman" w:eastAsia="Times New Roman" w:hAnsi="Times New Roman"/>
                <w:sz w:val="20"/>
                <w:szCs w:val="20"/>
                <w:color w:val="000000"/>
              </w:rPr>
              <w:t>The Credits</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2"/>
        </w:trPr>
        <w:tc>
          <w:tcPr>
            <w:tcW w:w="15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2.01.</w:t>
            </w:r>
          </w:p>
        </w:tc>
        <w:tc>
          <w:tcPr>
            <w:tcW w:w="20" w:type="dxa"/>
            <w:vAlign w:val="bottom"/>
          </w:tcPr>
          <w:p>
            <w:pPr>
              <w:spacing w:after="0"/>
              <w:rPr>
                <w:sz w:val="18"/>
                <w:szCs w:val="18"/>
                <w:color w:val="auto"/>
              </w:rPr>
            </w:pPr>
          </w:p>
        </w:tc>
        <w:tc>
          <w:tcPr>
            <w:tcW w:w="1980" w:type="dxa"/>
            <w:vAlign w:val="bottom"/>
            <w:tcBorders>
              <w:bottom w:val="single" w:sz="8" w:color="auto"/>
            </w:tcBorders>
            <w:gridSpan w:val="19"/>
          </w:tcPr>
          <w:p>
            <w:pPr>
              <w:spacing w:after="0" w:line="212" w:lineRule="exact"/>
              <w:rPr>
                <w:sz w:val="20"/>
                <w:szCs w:val="20"/>
                <w:color w:val="auto"/>
              </w:rPr>
            </w:pPr>
            <w:r>
              <w:rPr>
                <w:rFonts w:ascii="Times New Roman" w:cs="Times New Roman" w:eastAsia="Times New Roman" w:hAnsi="Times New Roman"/>
                <w:sz w:val="20"/>
                <w:szCs w:val="20"/>
                <w:color w:val="auto"/>
                <w:w w:val="97"/>
              </w:rPr>
              <w:t>Revolving Commitments</w:t>
            </w:r>
          </w:p>
        </w:tc>
        <w:tc>
          <w:tcPr>
            <w:tcW w:w="160" w:type="dxa"/>
            <w:vAlign w:val="bottom"/>
            <w:gridSpan w:val="3"/>
          </w:tcPr>
          <w:p>
            <w:pPr>
              <w:spacing w:after="0"/>
              <w:rPr>
                <w:sz w:val="18"/>
                <w:szCs w:val="18"/>
                <w:color w:val="auto"/>
              </w:rPr>
            </w:pPr>
          </w:p>
        </w:tc>
        <w:tc>
          <w:tcPr>
            <w:tcW w:w="540" w:type="dxa"/>
            <w:vAlign w:val="bottom"/>
            <w:gridSpan w:val="2"/>
          </w:tcPr>
          <w:p>
            <w:pPr>
              <w:jc w:val="right"/>
              <w:ind w:right="300"/>
              <w:spacing w:after="0" w:line="212" w:lineRule="exact"/>
              <w:rPr>
                <w:sz w:val="20"/>
                <w:szCs w:val="20"/>
                <w:color w:val="auto"/>
              </w:rPr>
            </w:pPr>
            <w:r>
              <w:rPr>
                <w:rFonts w:ascii="Times New Roman" w:cs="Times New Roman" w:eastAsia="Times New Roman" w:hAnsi="Times New Roman"/>
                <w:sz w:val="20"/>
                <w:szCs w:val="20"/>
                <w:color w:val="auto"/>
              </w:rPr>
              <w:t>44</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2.02.</w:t>
            </w:r>
          </w:p>
        </w:tc>
        <w:tc>
          <w:tcPr>
            <w:tcW w:w="20" w:type="dxa"/>
            <w:vAlign w:val="bottom"/>
          </w:tcPr>
          <w:p>
            <w:pPr>
              <w:spacing w:after="0"/>
              <w:rPr>
                <w:sz w:val="21"/>
                <w:szCs w:val="21"/>
                <w:color w:val="auto"/>
              </w:rPr>
            </w:pPr>
          </w:p>
        </w:tc>
        <w:tc>
          <w:tcPr>
            <w:tcW w:w="1880" w:type="dxa"/>
            <w:vAlign w:val="bottom"/>
            <w:gridSpan w:val="17"/>
          </w:tcPr>
          <w:p>
            <w:pPr>
              <w:spacing w:after="0"/>
              <w:rPr>
                <w:sz w:val="20"/>
                <w:szCs w:val="20"/>
                <w:color w:val="auto"/>
              </w:rPr>
            </w:pPr>
            <w:r>
              <w:rPr>
                <w:rFonts w:ascii="Times New Roman" w:cs="Times New Roman" w:eastAsia="Times New Roman" w:hAnsi="Times New Roman"/>
                <w:sz w:val="20"/>
                <w:szCs w:val="20"/>
                <w:color w:val="auto"/>
              </w:rPr>
              <w:t>Loans and Borrowings</w:t>
            </w:r>
          </w:p>
        </w:tc>
        <w:tc>
          <w:tcPr>
            <w:tcW w:w="440" w:type="dxa"/>
            <w:vAlign w:val="bottom"/>
            <w:gridSpan w:val="6"/>
          </w:tcPr>
          <w:p>
            <w:pPr>
              <w:jc w:val="right"/>
              <w:ind w:right="41"/>
              <w:spacing w:after="0"/>
              <w:rPr>
                <w:sz w:val="20"/>
                <w:szCs w:val="20"/>
                <w:color w:val="auto"/>
              </w:rPr>
            </w:pPr>
            <w:r>
              <w:rPr>
                <w:rFonts w:ascii="Times New Roman" w:cs="Times New Roman" w:eastAsia="Times New Roman" w:hAnsi="Times New Roman"/>
                <w:sz w:val="20"/>
                <w:szCs w:val="20"/>
                <w:color w:val="auto"/>
              </w:rPr>
              <w:t>44</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2.03.</w:t>
            </w:r>
          </w:p>
        </w:tc>
        <w:tc>
          <w:tcPr>
            <w:tcW w:w="20" w:type="dxa"/>
            <w:vAlign w:val="bottom"/>
          </w:tcPr>
          <w:p>
            <w:pPr>
              <w:spacing w:after="0"/>
              <w:rPr>
                <w:sz w:val="21"/>
                <w:szCs w:val="21"/>
                <w:color w:val="auto"/>
              </w:rPr>
            </w:pPr>
          </w:p>
        </w:tc>
        <w:tc>
          <w:tcPr>
            <w:tcW w:w="21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Requests for Borrowings</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9"/>
              </w:rPr>
              <w:t>45</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2.04.</w:t>
            </w:r>
          </w:p>
        </w:tc>
        <w:tc>
          <w:tcPr>
            <w:tcW w:w="20" w:type="dxa"/>
            <w:vAlign w:val="bottom"/>
          </w:tcPr>
          <w:p>
            <w:pPr>
              <w:spacing w:after="0"/>
              <w:rPr>
                <w:sz w:val="20"/>
                <w:szCs w:val="20"/>
                <w:color w:val="auto"/>
              </w:rPr>
            </w:pPr>
          </w:p>
        </w:tc>
        <w:tc>
          <w:tcPr>
            <w:tcW w:w="326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Determination of Dollar Amounts  46</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2.05.</w:t>
            </w:r>
          </w:p>
        </w:tc>
        <w:tc>
          <w:tcPr>
            <w:tcW w:w="20" w:type="dxa"/>
            <w:vAlign w:val="bottom"/>
          </w:tcPr>
          <w:p>
            <w:pPr>
              <w:spacing w:after="0"/>
              <w:rPr>
                <w:sz w:val="21"/>
                <w:szCs w:val="21"/>
                <w:color w:val="auto"/>
              </w:rPr>
            </w:pPr>
          </w:p>
        </w:tc>
        <w:tc>
          <w:tcPr>
            <w:tcW w:w="1320" w:type="dxa"/>
            <w:vAlign w:val="bottom"/>
            <w:tcBorders>
              <w:top w:val="single" w:sz="8" w:color="auto"/>
              <w:bottom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auto"/>
                <w:w w:val="96"/>
              </w:rPr>
              <w:t>Swingline Loans</w:t>
            </w:r>
          </w:p>
        </w:tc>
        <w:tc>
          <w:tcPr>
            <w:tcW w:w="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6"/>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2.06.</w:t>
            </w:r>
          </w:p>
        </w:tc>
        <w:tc>
          <w:tcPr>
            <w:tcW w:w="20" w:type="dxa"/>
            <w:vAlign w:val="bottom"/>
          </w:tcPr>
          <w:p>
            <w:pPr>
              <w:spacing w:after="0"/>
              <w:rPr>
                <w:sz w:val="20"/>
                <w:szCs w:val="20"/>
                <w:color w:val="auto"/>
              </w:rPr>
            </w:pPr>
          </w:p>
        </w:tc>
        <w:tc>
          <w:tcPr>
            <w:tcW w:w="13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w w:val="96"/>
              </w:rPr>
              <w:t>Letters of Credit</w:t>
            </w:r>
          </w:p>
        </w:tc>
        <w:tc>
          <w:tcPr>
            <w:tcW w:w="60" w:type="dxa"/>
            <w:vAlign w:val="bottom"/>
            <w:gridSpan w:val="2"/>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2.07.</w:t>
            </w:r>
          </w:p>
        </w:tc>
        <w:tc>
          <w:tcPr>
            <w:tcW w:w="20" w:type="dxa"/>
            <w:vAlign w:val="bottom"/>
          </w:tcPr>
          <w:p>
            <w:pPr>
              <w:spacing w:after="0"/>
              <w:rPr>
                <w:sz w:val="21"/>
                <w:szCs w:val="21"/>
                <w:color w:val="auto"/>
              </w:rPr>
            </w:pPr>
          </w:p>
        </w:tc>
        <w:tc>
          <w:tcPr>
            <w:tcW w:w="188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20"/>
                <w:szCs w:val="20"/>
                <w:color w:val="auto"/>
                <w:w w:val="97"/>
              </w:rPr>
              <w:t>Funding of Borrowings</w:t>
            </w:r>
          </w:p>
        </w:tc>
        <w:tc>
          <w:tcPr>
            <w:tcW w:w="4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2.08.</w:t>
            </w:r>
          </w:p>
        </w:tc>
        <w:tc>
          <w:tcPr>
            <w:tcW w:w="20" w:type="dxa"/>
            <w:vAlign w:val="bottom"/>
          </w:tcPr>
          <w:p>
            <w:pPr>
              <w:spacing w:after="0"/>
              <w:rPr>
                <w:sz w:val="20"/>
                <w:szCs w:val="20"/>
                <w:color w:val="auto"/>
              </w:rPr>
            </w:pPr>
          </w:p>
        </w:tc>
        <w:tc>
          <w:tcPr>
            <w:tcW w:w="136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20"/>
                <w:szCs w:val="20"/>
                <w:color w:val="auto"/>
                <w:w w:val="96"/>
              </w:rPr>
              <w:t>Interest Elections</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50"/>
        </w:trPr>
        <w:tc>
          <w:tcPr>
            <w:tcW w:w="11240" w:type="dxa"/>
            <w:vAlign w:val="bottom"/>
            <w:gridSpan w:val="39"/>
          </w:tcPr>
          <w:p>
            <w:pPr>
              <w:spacing w:after="0"/>
              <w:rPr>
                <w:sz w:val="20"/>
                <w:szCs w:val="20"/>
                <w:color w:val="auto"/>
              </w:rPr>
            </w:pPr>
            <w:r>
              <w:rPr>
                <w:rFonts w:ascii="Times New Roman" w:cs="Times New Roman" w:eastAsia="Times New Roman" w:hAnsi="Times New Roman"/>
                <w:sz w:val="20"/>
                <w:szCs w:val="20"/>
                <w:color w:val="auto"/>
              </w:rPr>
              <w:t>SECTION 2.09.  Termination and Reduction of Revolving Commitments; Increase in Revolving Commitments; Incremental Term</w:t>
            </w:r>
          </w:p>
        </w:tc>
      </w:tr>
      <w:tr>
        <w:trPr>
          <w:trHeight w:val="223"/>
        </w:trPr>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4"/>
          </w:tcPr>
          <w:p>
            <w:pPr>
              <w:spacing w:after="0" w:line="223" w:lineRule="exact"/>
              <w:rPr>
                <w:sz w:val="20"/>
                <w:szCs w:val="20"/>
                <w:color w:val="auto"/>
              </w:rPr>
            </w:pPr>
            <w:r>
              <w:rPr>
                <w:rFonts w:ascii="Times New Roman" w:cs="Times New Roman" w:eastAsia="Times New Roman" w:hAnsi="Times New Roman"/>
                <w:sz w:val="20"/>
                <w:szCs w:val="20"/>
                <w:color w:val="auto"/>
                <w:w w:val="98"/>
              </w:rPr>
              <w:t>Loans</w:t>
            </w:r>
          </w:p>
        </w:tc>
        <w:tc>
          <w:tcPr>
            <w:tcW w:w="560" w:type="dxa"/>
            <w:vAlign w:val="bottom"/>
            <w:tcBorders>
              <w:top w:val="single" w:sz="8" w:color="auto"/>
            </w:tcBorders>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55</w:t>
            </w: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7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6"/>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2.10.</w:t>
            </w:r>
          </w:p>
        </w:tc>
        <w:tc>
          <w:tcPr>
            <w:tcW w:w="20" w:type="dxa"/>
            <w:vAlign w:val="bottom"/>
          </w:tcPr>
          <w:p>
            <w:pPr>
              <w:spacing w:after="0"/>
              <w:rPr>
                <w:sz w:val="20"/>
                <w:szCs w:val="20"/>
                <w:color w:val="auto"/>
              </w:rPr>
            </w:pPr>
          </w:p>
        </w:tc>
        <w:tc>
          <w:tcPr>
            <w:tcW w:w="320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20"/>
                <w:szCs w:val="20"/>
                <w:color w:val="auto"/>
                <w:w w:val="99"/>
              </w:rPr>
              <w:t>Repayment of Loans; Evidence of Debt</w:t>
            </w:r>
          </w:p>
        </w:tc>
        <w:tc>
          <w:tcPr>
            <w:tcW w:w="60" w:type="dxa"/>
            <w:vAlign w:val="bottom"/>
          </w:tcPr>
          <w:p>
            <w:pPr>
              <w:spacing w:after="0"/>
              <w:rPr>
                <w:sz w:val="20"/>
                <w:szCs w:val="20"/>
                <w:color w:val="auto"/>
              </w:rPr>
            </w:pPr>
          </w:p>
        </w:tc>
        <w:tc>
          <w:tcPr>
            <w:tcW w:w="58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57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2.11.</w:t>
            </w:r>
          </w:p>
        </w:tc>
        <w:tc>
          <w:tcPr>
            <w:tcW w:w="174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Prepayment of Loans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w w:val="79"/>
              </w:rPr>
              <w:t>58</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2.12.</w:t>
            </w:r>
          </w:p>
        </w:tc>
        <w:tc>
          <w:tcPr>
            <w:tcW w:w="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20"/>
                <w:szCs w:val="20"/>
                <w:color w:val="auto"/>
              </w:rPr>
              <w:t>Fees  59</w:t>
            </w: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2.13.</w:t>
            </w:r>
          </w:p>
        </w:tc>
        <w:tc>
          <w:tcPr>
            <w:tcW w:w="20" w:type="dxa"/>
            <w:vAlign w:val="bottom"/>
          </w:tcPr>
          <w:p>
            <w:pPr>
              <w:spacing w:after="0"/>
              <w:rPr>
                <w:sz w:val="21"/>
                <w:szCs w:val="21"/>
                <w:color w:val="auto"/>
              </w:rPr>
            </w:pPr>
          </w:p>
        </w:tc>
        <w:tc>
          <w:tcPr>
            <w:tcW w:w="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w w:val="93"/>
              </w:rPr>
              <w:t>Interest</w:t>
            </w:r>
          </w:p>
        </w:tc>
        <w:tc>
          <w:tcPr>
            <w:tcW w:w="2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2.14.</w:t>
            </w:r>
          </w:p>
        </w:tc>
        <w:tc>
          <w:tcPr>
            <w:tcW w:w="20" w:type="dxa"/>
            <w:vAlign w:val="bottom"/>
          </w:tcPr>
          <w:p>
            <w:pPr>
              <w:spacing w:after="0"/>
              <w:rPr>
                <w:sz w:val="21"/>
                <w:szCs w:val="21"/>
                <w:color w:val="auto"/>
              </w:rPr>
            </w:pPr>
          </w:p>
        </w:tc>
        <w:tc>
          <w:tcPr>
            <w:tcW w:w="21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Alternate Rate of Interest</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61</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6"/>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2.15.</w:t>
            </w:r>
          </w:p>
        </w:tc>
        <w:tc>
          <w:tcPr>
            <w:tcW w:w="20" w:type="dxa"/>
            <w:vAlign w:val="bottom"/>
          </w:tcPr>
          <w:p>
            <w:pPr>
              <w:spacing w:after="0"/>
              <w:rPr>
                <w:sz w:val="20"/>
                <w:szCs w:val="20"/>
                <w:color w:val="auto"/>
              </w:rPr>
            </w:pPr>
          </w:p>
        </w:tc>
        <w:tc>
          <w:tcPr>
            <w:tcW w:w="124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w w:val="96"/>
              </w:rPr>
              <w:t>Increased Costs</w:t>
            </w:r>
          </w:p>
        </w:tc>
        <w:tc>
          <w:tcPr>
            <w:tcW w:w="120" w:type="dxa"/>
            <w:vAlign w:val="bottom"/>
            <w:tcBorders>
              <w:top w:val="single" w:sz="8" w:color="auto"/>
            </w:tcBorders>
            <w:gridSpan w:val="3"/>
          </w:tcPr>
          <w:p>
            <w:pPr>
              <w:spacing w:after="0"/>
              <w:rPr>
                <w:sz w:val="20"/>
                <w:szCs w:val="20"/>
                <w:color w:val="auto"/>
              </w:rPr>
            </w:pPr>
          </w:p>
        </w:tc>
        <w:tc>
          <w:tcPr>
            <w:tcW w:w="3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64</w:t>
            </w: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2.16.</w:t>
            </w:r>
          </w:p>
        </w:tc>
        <w:tc>
          <w:tcPr>
            <w:tcW w:w="20" w:type="dxa"/>
            <w:vAlign w:val="bottom"/>
          </w:tcPr>
          <w:p>
            <w:pPr>
              <w:spacing w:after="0"/>
              <w:rPr>
                <w:sz w:val="21"/>
                <w:szCs w:val="21"/>
                <w:color w:val="auto"/>
              </w:rPr>
            </w:pPr>
          </w:p>
        </w:tc>
        <w:tc>
          <w:tcPr>
            <w:tcW w:w="21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Break Funding Payments</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65</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2.17.</w:t>
            </w:r>
          </w:p>
        </w:tc>
        <w:tc>
          <w:tcPr>
            <w:tcW w:w="20" w:type="dxa"/>
            <w:vAlign w:val="bottom"/>
          </w:tcPr>
          <w:p>
            <w:pPr>
              <w:spacing w:after="0"/>
              <w:rPr>
                <w:sz w:val="20"/>
                <w:szCs w:val="20"/>
                <w:color w:val="auto"/>
              </w:rPr>
            </w:pPr>
          </w:p>
        </w:tc>
        <w:tc>
          <w:tcPr>
            <w:tcW w:w="6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Taxes</w:t>
            </w:r>
          </w:p>
        </w:tc>
        <w:tc>
          <w:tcPr>
            <w:tcW w:w="5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66</w:t>
            </w: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2.18.</w:t>
            </w:r>
          </w:p>
        </w:tc>
        <w:tc>
          <w:tcPr>
            <w:tcW w:w="20" w:type="dxa"/>
            <w:vAlign w:val="bottom"/>
          </w:tcPr>
          <w:p>
            <w:pPr>
              <w:spacing w:after="0"/>
              <w:rPr>
                <w:sz w:val="21"/>
                <w:szCs w:val="21"/>
                <w:color w:val="auto"/>
              </w:rPr>
            </w:pPr>
          </w:p>
        </w:tc>
        <w:tc>
          <w:tcPr>
            <w:tcW w:w="9720" w:type="dxa"/>
            <w:vAlign w:val="bottom"/>
            <w:gridSpan w:val="37"/>
          </w:tcPr>
          <w:p>
            <w:pPr>
              <w:spacing w:after="0"/>
              <w:rPr>
                <w:sz w:val="20"/>
                <w:szCs w:val="20"/>
                <w:color w:val="auto"/>
              </w:rPr>
            </w:pPr>
            <w:r>
              <w:rPr>
                <w:rFonts w:ascii="Times New Roman" w:cs="Times New Roman" w:eastAsia="Times New Roman" w:hAnsi="Times New Roman"/>
                <w:sz w:val="20"/>
                <w:szCs w:val="20"/>
                <w:color w:val="auto"/>
              </w:rPr>
              <w:t>Payments Generally; Allocation of Proceeds; Sharing of Set-offs  69</w:t>
            </w: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2.19.</w:t>
            </w:r>
          </w:p>
        </w:tc>
        <w:tc>
          <w:tcPr>
            <w:tcW w:w="20" w:type="dxa"/>
            <w:vAlign w:val="bottom"/>
          </w:tcPr>
          <w:p>
            <w:pPr>
              <w:spacing w:after="0"/>
              <w:rPr>
                <w:sz w:val="21"/>
                <w:szCs w:val="21"/>
                <w:color w:val="auto"/>
              </w:rPr>
            </w:pPr>
          </w:p>
        </w:tc>
        <w:tc>
          <w:tcPr>
            <w:tcW w:w="4000" w:type="dxa"/>
            <w:vAlign w:val="bottom"/>
            <w:tcBorders>
              <w:top w:val="single" w:sz="8" w:color="auto"/>
            </w:tcBorders>
            <w:gridSpan w:val="31"/>
          </w:tcPr>
          <w:p>
            <w:pPr>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1100" w:type="dxa"/>
            <w:vAlign w:val="bottom"/>
            <w:tcBorders>
              <w:top w:val="single" w:sz="8" w:color="auto"/>
            </w:tcBorders>
            <w:gridSpan w:val="2"/>
          </w:tcPr>
          <w:p>
            <w:pPr>
              <w:jc w:val="right"/>
              <w:ind w:right="880"/>
              <w:spacing w:after="0"/>
              <w:rPr>
                <w:sz w:val="20"/>
                <w:szCs w:val="20"/>
                <w:color w:val="auto"/>
              </w:rPr>
            </w:pPr>
            <w:r>
              <w:rPr>
                <w:rFonts w:ascii="Times New Roman" w:cs="Times New Roman" w:eastAsia="Times New Roman" w:hAnsi="Times New Roman"/>
                <w:sz w:val="20"/>
                <w:szCs w:val="20"/>
                <w:color w:val="auto"/>
                <w:w w:val="99"/>
              </w:rPr>
              <w:t>72</w:t>
            </w: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6"/>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2.20.</w:t>
            </w:r>
          </w:p>
        </w:tc>
        <w:tc>
          <w:tcPr>
            <w:tcW w:w="20" w:type="dxa"/>
            <w:vAlign w:val="bottom"/>
          </w:tcPr>
          <w:p>
            <w:pPr>
              <w:spacing w:after="0"/>
              <w:rPr>
                <w:sz w:val="20"/>
                <w:szCs w:val="20"/>
                <w:color w:val="auto"/>
              </w:rPr>
            </w:pPr>
          </w:p>
        </w:tc>
        <w:tc>
          <w:tcPr>
            <w:tcW w:w="1520" w:type="dxa"/>
            <w:vAlign w:val="bottom"/>
            <w:tcBorders>
              <w:top w:val="single" w:sz="8" w:color="auto"/>
              <w:bottom w:val="single" w:sz="8" w:color="auto"/>
            </w:tcBorders>
            <w:gridSpan w:val="12"/>
          </w:tcPr>
          <w:p>
            <w:pPr>
              <w:spacing w:after="0"/>
              <w:rPr>
                <w:sz w:val="20"/>
                <w:szCs w:val="20"/>
                <w:color w:val="auto"/>
              </w:rPr>
            </w:pPr>
            <w:r>
              <w:rPr>
                <w:rFonts w:ascii="Times New Roman" w:cs="Times New Roman" w:eastAsia="Times New Roman" w:hAnsi="Times New Roman"/>
                <w:sz w:val="20"/>
                <w:szCs w:val="20"/>
                <w:color w:val="auto"/>
                <w:w w:val="96"/>
              </w:rPr>
              <w:t>Defaulting Lenders</w:t>
            </w:r>
          </w:p>
        </w:tc>
        <w:tc>
          <w:tcPr>
            <w:tcW w:w="200" w:type="dxa"/>
            <w:vAlign w:val="bottom"/>
            <w:tcBorders>
              <w:top w:val="single" w:sz="8" w:color="auto"/>
            </w:tcBorders>
            <w:gridSpan w:val="3"/>
          </w:tcPr>
          <w:p>
            <w:pPr>
              <w:spacing w:after="0"/>
              <w:rPr>
                <w:sz w:val="20"/>
                <w:szCs w:val="20"/>
                <w:color w:val="auto"/>
              </w:rPr>
            </w:pPr>
          </w:p>
        </w:tc>
        <w:tc>
          <w:tcPr>
            <w:tcW w:w="2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2.21.</w:t>
            </w:r>
          </w:p>
        </w:tc>
        <w:tc>
          <w:tcPr>
            <w:tcW w:w="20" w:type="dxa"/>
            <w:vAlign w:val="bottom"/>
          </w:tcPr>
          <w:p>
            <w:pPr>
              <w:spacing w:after="0"/>
              <w:rPr>
                <w:sz w:val="21"/>
                <w:szCs w:val="21"/>
                <w:color w:val="auto"/>
              </w:rPr>
            </w:pPr>
          </w:p>
        </w:tc>
        <w:tc>
          <w:tcPr>
            <w:tcW w:w="172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Returned Payments</w:t>
            </w:r>
          </w:p>
        </w:tc>
        <w:tc>
          <w:tcPr>
            <w:tcW w:w="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75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1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2.22.</w:t>
            </w:r>
          </w:p>
        </w:tc>
        <w:tc>
          <w:tcPr>
            <w:tcW w:w="20" w:type="dxa"/>
            <w:vAlign w:val="bottom"/>
          </w:tcPr>
          <w:p>
            <w:pPr>
              <w:spacing w:after="0"/>
              <w:rPr>
                <w:sz w:val="20"/>
                <w:szCs w:val="20"/>
                <w:color w:val="auto"/>
              </w:rPr>
            </w:pPr>
          </w:p>
        </w:tc>
        <w:tc>
          <w:tcPr>
            <w:tcW w:w="3260" w:type="dxa"/>
            <w:vAlign w:val="bottom"/>
            <w:gridSpan w:val="29"/>
          </w:tcPr>
          <w:p>
            <w:pPr>
              <w:spacing w:after="0"/>
              <w:rPr>
                <w:sz w:val="20"/>
                <w:szCs w:val="20"/>
                <w:color w:val="auto"/>
              </w:rPr>
            </w:pPr>
            <w:r>
              <w:rPr>
                <w:rFonts w:ascii="Times New Roman" w:cs="Times New Roman" w:eastAsia="Times New Roman" w:hAnsi="Times New Roman"/>
                <w:sz w:val="20"/>
                <w:szCs w:val="20"/>
                <w:color w:val="auto"/>
                <w:w w:val="99"/>
              </w:rPr>
              <w:t>Banking Services and Swap Agreements</w:t>
            </w:r>
          </w:p>
        </w:tc>
        <w:tc>
          <w:tcPr>
            <w:tcW w:w="5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1520" w:type="dxa"/>
            <w:vAlign w:val="bottom"/>
            <w:gridSpan w:val="2"/>
          </w:tcPr>
          <w:p>
            <w:pPr>
              <w:spacing w:after="0" w:line="20" w:lineRule="exact"/>
              <w:rPr>
                <w:sz w:val="1"/>
                <w:szCs w:val="1"/>
                <w:color w:val="auto"/>
              </w:rPr>
            </w:pPr>
          </w:p>
        </w:tc>
        <w:tc>
          <w:tcPr>
            <w:tcW w:w="1700" w:type="dxa"/>
            <w:vAlign w:val="bottom"/>
            <w:gridSpan w:val="14"/>
            <w:shd w:val="clear" w:color="auto" w:fill="000000"/>
          </w:tcPr>
          <w:p>
            <w:pPr>
              <w:spacing w:after="0" w:line="20" w:lineRule="exact"/>
              <w:rPr>
                <w:sz w:val="1"/>
                <w:szCs w:val="1"/>
                <w:color w:val="auto"/>
              </w:rPr>
            </w:pPr>
          </w:p>
        </w:tc>
        <w:tc>
          <w:tcPr>
            <w:tcW w:w="440" w:type="dxa"/>
            <w:vAlign w:val="bottom"/>
            <w:gridSpan w:val="8"/>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85"/>
        </w:trPr>
        <w:tc>
          <w:tcPr>
            <w:tcW w:w="3660" w:type="dxa"/>
            <w:vAlign w:val="bottom"/>
            <w:gridSpan w:val="24"/>
          </w:tcPr>
          <w:p>
            <w:pPr>
              <w:spacing w:after="0"/>
              <w:rPr>
                <w:sz w:val="20"/>
                <w:szCs w:val="20"/>
                <w:color w:val="auto"/>
              </w:rPr>
            </w:pPr>
            <w:r>
              <w:rPr>
                <w:rFonts w:ascii="Times New Roman" w:cs="Times New Roman" w:eastAsia="Times New Roman" w:hAnsi="Times New Roman"/>
                <w:sz w:val="20"/>
                <w:szCs w:val="20"/>
                <w:color w:val="010000"/>
                <w:w w:val="98"/>
              </w:rPr>
              <w:t xml:space="preserve">ARTICLE III </w:t>
            </w:r>
            <w:r>
              <w:rPr>
                <w:rFonts w:ascii="Times New Roman" w:cs="Times New Roman" w:eastAsia="Times New Roman" w:hAnsi="Times New Roman"/>
                <w:sz w:val="20"/>
                <w:szCs w:val="20"/>
                <w:color w:val="000000"/>
                <w:w w:val="98"/>
              </w:rPr>
              <w:t>Representations and Warranties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76</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4"/>
        </w:trPr>
        <w:tc>
          <w:tcPr>
            <w:tcW w:w="15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SECTION 3.01.</w:t>
            </w:r>
          </w:p>
        </w:tc>
        <w:tc>
          <w:tcPr>
            <w:tcW w:w="20" w:type="dxa"/>
            <w:vAlign w:val="bottom"/>
          </w:tcPr>
          <w:p>
            <w:pPr>
              <w:spacing w:after="0"/>
              <w:rPr>
                <w:sz w:val="19"/>
                <w:szCs w:val="19"/>
                <w:color w:val="auto"/>
              </w:rPr>
            </w:pPr>
          </w:p>
        </w:tc>
        <w:tc>
          <w:tcPr>
            <w:tcW w:w="1720" w:type="dxa"/>
            <w:vAlign w:val="bottom"/>
            <w:gridSpan w:val="15"/>
          </w:tcPr>
          <w:p>
            <w:pPr>
              <w:spacing w:after="0" w:line="224" w:lineRule="exact"/>
              <w:rPr>
                <w:sz w:val="20"/>
                <w:szCs w:val="20"/>
                <w:color w:val="auto"/>
              </w:rPr>
            </w:pPr>
            <w:r>
              <w:rPr>
                <w:rFonts w:ascii="Times New Roman" w:cs="Times New Roman" w:eastAsia="Times New Roman" w:hAnsi="Times New Roman"/>
                <w:sz w:val="20"/>
                <w:szCs w:val="20"/>
                <w:color w:val="auto"/>
                <w:w w:val="97"/>
              </w:rPr>
              <w:t>Organization; Powers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5"/>
          </w:tcPr>
          <w:p>
            <w:pPr>
              <w:jc w:val="right"/>
              <w:ind w:right="40"/>
              <w:spacing w:after="0" w:line="224" w:lineRule="exact"/>
              <w:rPr>
                <w:sz w:val="20"/>
                <w:szCs w:val="20"/>
                <w:color w:val="auto"/>
              </w:rPr>
            </w:pPr>
            <w:r>
              <w:rPr>
                <w:rFonts w:ascii="Times New Roman" w:cs="Times New Roman" w:eastAsia="Times New Roman" w:hAnsi="Times New Roman"/>
                <w:sz w:val="20"/>
                <w:szCs w:val="20"/>
                <w:color w:val="auto"/>
                <w:w w:val="99"/>
              </w:rPr>
              <w:t>76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14"/>
            <w:shd w:val="clear" w:color="auto" w:fill="000000"/>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6"/>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3.02.</w:t>
            </w:r>
          </w:p>
        </w:tc>
        <w:tc>
          <w:tcPr>
            <w:tcW w:w="20" w:type="dxa"/>
            <w:vAlign w:val="bottom"/>
          </w:tcPr>
          <w:p>
            <w:pPr>
              <w:spacing w:after="0"/>
              <w:rPr>
                <w:sz w:val="20"/>
                <w:szCs w:val="20"/>
                <w:color w:val="auto"/>
              </w:rPr>
            </w:pPr>
          </w:p>
        </w:tc>
        <w:tc>
          <w:tcPr>
            <w:tcW w:w="3260" w:type="dxa"/>
            <w:vAlign w:val="bottom"/>
            <w:gridSpan w:val="29"/>
          </w:tcPr>
          <w:p>
            <w:pPr>
              <w:spacing w:after="0"/>
              <w:rPr>
                <w:sz w:val="20"/>
                <w:szCs w:val="20"/>
                <w:color w:val="auto"/>
              </w:rPr>
            </w:pPr>
            <w:r>
              <w:rPr>
                <w:rFonts w:ascii="Times New Roman" w:cs="Times New Roman" w:eastAsia="Times New Roman" w:hAnsi="Times New Roman"/>
                <w:sz w:val="20"/>
                <w:szCs w:val="20"/>
                <w:color w:val="auto"/>
              </w:rPr>
              <w:t>Authorization; Enforceability  76</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3"/>
            <w:shd w:val="clear" w:color="auto" w:fill="000000"/>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3.03.</w:t>
            </w:r>
          </w:p>
        </w:tc>
        <w:tc>
          <w:tcPr>
            <w:tcW w:w="20" w:type="dxa"/>
            <w:vAlign w:val="bottom"/>
          </w:tcPr>
          <w:p>
            <w:pPr>
              <w:spacing w:after="0"/>
              <w:rPr>
                <w:sz w:val="21"/>
                <w:szCs w:val="21"/>
                <w:color w:val="auto"/>
              </w:rPr>
            </w:pPr>
          </w:p>
        </w:tc>
        <w:tc>
          <w:tcPr>
            <w:tcW w:w="31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20"/>
                <w:szCs w:val="20"/>
                <w:color w:val="auto"/>
                <w:w w:val="98"/>
              </w:rPr>
              <w:t>Governmental Approvals; No Conflicts</w:t>
            </w:r>
          </w:p>
        </w:tc>
        <w:tc>
          <w:tcPr>
            <w:tcW w:w="140" w:type="dxa"/>
            <w:vAlign w:val="bottom"/>
            <w:gridSpan w:val="2"/>
          </w:tcPr>
          <w:p>
            <w:pPr>
              <w:spacing w:after="0"/>
              <w:rPr>
                <w:sz w:val="21"/>
                <w:szCs w:val="21"/>
                <w:color w:val="auto"/>
              </w:rPr>
            </w:pPr>
          </w:p>
        </w:tc>
        <w:tc>
          <w:tcPr>
            <w:tcW w:w="5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76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6"/>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SECTION 3.04.</w:t>
            </w:r>
          </w:p>
        </w:tc>
        <w:tc>
          <w:tcPr>
            <w:tcW w:w="20" w:type="dxa"/>
            <w:vAlign w:val="bottom"/>
          </w:tcPr>
          <w:p>
            <w:pPr>
              <w:spacing w:after="0"/>
              <w:rPr>
                <w:sz w:val="20"/>
                <w:szCs w:val="20"/>
                <w:color w:val="auto"/>
              </w:rPr>
            </w:pPr>
          </w:p>
        </w:tc>
        <w:tc>
          <w:tcPr>
            <w:tcW w:w="400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20"/>
                <w:szCs w:val="20"/>
                <w:color w:val="auto"/>
                <w:w w:val="98"/>
              </w:rPr>
              <w:t>Financial Condition; No Material Adverse Change</w:t>
            </w:r>
          </w:p>
        </w:tc>
        <w:tc>
          <w:tcPr>
            <w:tcW w:w="110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3.05.</w:t>
            </w:r>
          </w:p>
        </w:tc>
        <w:tc>
          <w:tcPr>
            <w:tcW w:w="12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Properties</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76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3.06.</w:t>
            </w:r>
          </w:p>
        </w:tc>
        <w:tc>
          <w:tcPr>
            <w:tcW w:w="120" w:type="dxa"/>
            <w:vAlign w:val="bottom"/>
          </w:tcPr>
          <w:p>
            <w:pPr>
              <w:spacing w:after="0"/>
              <w:rPr>
                <w:sz w:val="21"/>
                <w:szCs w:val="21"/>
                <w:color w:val="auto"/>
              </w:rPr>
            </w:pPr>
          </w:p>
        </w:tc>
        <w:tc>
          <w:tcPr>
            <w:tcW w:w="298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20"/>
                <w:szCs w:val="20"/>
                <w:color w:val="auto"/>
                <w:w w:val="97"/>
              </w:rPr>
              <w:t>Litigation and Environmental Matters</w:t>
            </w:r>
          </w:p>
        </w:tc>
        <w:tc>
          <w:tcPr>
            <w:tcW w:w="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3.07.</w:t>
            </w:r>
          </w:p>
        </w:tc>
        <w:tc>
          <w:tcPr>
            <w:tcW w:w="120" w:type="dxa"/>
            <w:vAlign w:val="bottom"/>
          </w:tcPr>
          <w:p>
            <w:pPr>
              <w:spacing w:after="0"/>
              <w:rPr>
                <w:sz w:val="20"/>
                <w:szCs w:val="20"/>
                <w:color w:val="auto"/>
              </w:rPr>
            </w:pPr>
          </w:p>
        </w:tc>
        <w:tc>
          <w:tcPr>
            <w:tcW w:w="5580" w:type="dxa"/>
            <w:vAlign w:val="bottom"/>
            <w:gridSpan w:val="37"/>
          </w:tcPr>
          <w:p>
            <w:pPr>
              <w:spacing w:after="0"/>
              <w:rPr>
                <w:sz w:val="20"/>
                <w:szCs w:val="20"/>
                <w:color w:val="auto"/>
              </w:rPr>
            </w:pPr>
            <w:r>
              <w:rPr>
                <w:rFonts w:ascii="Times New Roman" w:cs="Times New Roman" w:eastAsia="Times New Roman" w:hAnsi="Times New Roman"/>
                <w:sz w:val="20"/>
                <w:szCs w:val="20"/>
                <w:color w:val="auto"/>
              </w:rPr>
              <w:t>Compliance with Laws and Agreements; No Default  77</w:t>
            </w: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3.08.</w:t>
            </w:r>
          </w:p>
        </w:tc>
        <w:tc>
          <w:tcPr>
            <w:tcW w:w="120" w:type="dxa"/>
            <w:vAlign w:val="bottom"/>
          </w:tcPr>
          <w:p>
            <w:pPr>
              <w:spacing w:after="0"/>
              <w:rPr>
                <w:sz w:val="21"/>
                <w:szCs w:val="21"/>
                <w:color w:val="auto"/>
              </w:rPr>
            </w:pPr>
          </w:p>
        </w:tc>
        <w:tc>
          <w:tcPr>
            <w:tcW w:w="2280" w:type="dxa"/>
            <w:vAlign w:val="bottom"/>
            <w:tcBorders>
              <w:top w:val="single" w:sz="8" w:color="auto"/>
            </w:tcBorders>
            <w:gridSpan w:val="23"/>
          </w:tcPr>
          <w:p>
            <w:pPr>
              <w:spacing w:after="0"/>
              <w:rPr>
                <w:sz w:val="20"/>
                <w:szCs w:val="20"/>
                <w:color w:val="auto"/>
              </w:rPr>
            </w:pPr>
            <w:r>
              <w:rPr>
                <w:rFonts w:ascii="Times New Roman" w:cs="Times New Roman" w:eastAsia="Times New Roman" w:hAnsi="Times New Roman"/>
                <w:sz w:val="20"/>
                <w:szCs w:val="20"/>
                <w:color w:val="auto"/>
              </w:rPr>
              <w:t>Investment Company Status</w:t>
            </w:r>
          </w:p>
        </w:tc>
        <w:tc>
          <w:tcPr>
            <w:tcW w:w="600" w:type="dxa"/>
            <w:vAlign w:val="bottom"/>
            <w:tcBorders>
              <w:top w:val="single" w:sz="8" w:color="auto"/>
            </w:tcBorders>
            <w:gridSpan w:val="6"/>
          </w:tcPr>
          <w:p>
            <w:pPr>
              <w:jc w:val="right"/>
              <w:ind w:right="161"/>
              <w:spacing w:after="0"/>
              <w:rPr>
                <w:sz w:val="20"/>
                <w:szCs w:val="20"/>
                <w:color w:val="auto"/>
              </w:rPr>
            </w:pPr>
            <w:r>
              <w:rPr>
                <w:rFonts w:ascii="Times New Roman" w:cs="Times New Roman" w:eastAsia="Times New Roman" w:hAnsi="Times New Roman"/>
                <w:sz w:val="20"/>
                <w:szCs w:val="20"/>
                <w:color w:val="auto"/>
              </w:rPr>
              <w:t>77</w:t>
            </w: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3.09.</w:t>
            </w:r>
          </w:p>
        </w:tc>
        <w:tc>
          <w:tcPr>
            <w:tcW w:w="120" w:type="dxa"/>
            <w:vAlign w:val="bottom"/>
          </w:tcPr>
          <w:p>
            <w:pPr>
              <w:spacing w:after="0"/>
              <w:rPr>
                <w:sz w:val="20"/>
                <w:szCs w:val="20"/>
                <w:color w:val="auto"/>
              </w:rPr>
            </w:pPr>
          </w:p>
        </w:tc>
        <w:tc>
          <w:tcPr>
            <w:tcW w:w="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Taxes</w:t>
            </w:r>
          </w:p>
        </w:tc>
        <w:tc>
          <w:tcPr>
            <w:tcW w:w="3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77</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3.10.</w:t>
            </w:r>
          </w:p>
        </w:tc>
        <w:tc>
          <w:tcPr>
            <w:tcW w:w="120" w:type="dxa"/>
            <w:vAlign w:val="bottom"/>
          </w:tcPr>
          <w:p>
            <w:pPr>
              <w:spacing w:after="0"/>
              <w:rPr>
                <w:sz w:val="21"/>
                <w:szCs w:val="21"/>
                <w:color w:val="auto"/>
              </w:rPr>
            </w:pPr>
          </w:p>
        </w:tc>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3"/>
              </w:rPr>
              <w:t>ERISA</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3.11.</w:t>
            </w:r>
          </w:p>
        </w:tc>
        <w:tc>
          <w:tcPr>
            <w:tcW w:w="102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Disclosure</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3.12.</w:t>
            </w:r>
          </w:p>
        </w:tc>
        <w:tc>
          <w:tcPr>
            <w:tcW w:w="120" w:type="dxa"/>
            <w:vAlign w:val="bottom"/>
          </w:tcPr>
          <w:p>
            <w:pPr>
              <w:spacing w:after="0"/>
              <w:rPr>
                <w:sz w:val="20"/>
                <w:szCs w:val="20"/>
                <w:color w:val="auto"/>
              </w:rPr>
            </w:pPr>
          </w:p>
        </w:tc>
        <w:tc>
          <w:tcPr>
            <w:tcW w:w="174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Material Agreements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3.13.</w:t>
            </w:r>
          </w:p>
        </w:tc>
        <w:tc>
          <w:tcPr>
            <w:tcW w:w="120" w:type="dxa"/>
            <w:vAlign w:val="bottom"/>
          </w:tcPr>
          <w:p>
            <w:pPr>
              <w:spacing w:after="0"/>
              <w:rPr>
                <w:sz w:val="21"/>
                <w:szCs w:val="21"/>
                <w:color w:val="auto"/>
              </w:rPr>
            </w:pPr>
          </w:p>
        </w:tc>
        <w:tc>
          <w:tcPr>
            <w:tcW w:w="9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Solvency</w:t>
            </w: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78</w:t>
            </w: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3.14.</w:t>
            </w:r>
          </w:p>
        </w:tc>
        <w:tc>
          <w:tcPr>
            <w:tcW w:w="120" w:type="dxa"/>
            <w:vAlign w:val="bottom"/>
          </w:tcPr>
          <w:p>
            <w:pPr>
              <w:spacing w:after="0"/>
              <w:rPr>
                <w:sz w:val="20"/>
                <w:szCs w:val="20"/>
                <w:color w:val="auto"/>
              </w:rPr>
            </w:pPr>
          </w:p>
        </w:tc>
        <w:tc>
          <w:tcPr>
            <w:tcW w:w="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w w:val="95"/>
              </w:rPr>
              <w:t>Insurance</w:t>
            </w:r>
          </w:p>
        </w:tc>
        <w:tc>
          <w:tcPr>
            <w:tcW w:w="12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78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3.15.</w:t>
            </w:r>
          </w:p>
        </w:tc>
        <w:tc>
          <w:tcPr>
            <w:tcW w:w="120" w:type="dxa"/>
            <w:vAlign w:val="bottom"/>
          </w:tcPr>
          <w:p>
            <w:pPr>
              <w:spacing w:after="0"/>
              <w:rPr>
                <w:sz w:val="21"/>
                <w:szCs w:val="21"/>
                <w:color w:val="auto"/>
              </w:rPr>
            </w:pPr>
          </w:p>
        </w:tc>
        <w:tc>
          <w:tcPr>
            <w:tcW w:w="2520" w:type="dxa"/>
            <w:vAlign w:val="bottom"/>
            <w:gridSpan w:val="28"/>
          </w:tcPr>
          <w:p>
            <w:pPr>
              <w:spacing w:after="0"/>
              <w:rPr>
                <w:sz w:val="20"/>
                <w:szCs w:val="20"/>
                <w:color w:val="auto"/>
              </w:rPr>
            </w:pPr>
            <w:r>
              <w:rPr>
                <w:rFonts w:ascii="Times New Roman" w:cs="Times New Roman" w:eastAsia="Times New Roman" w:hAnsi="Times New Roman"/>
                <w:sz w:val="20"/>
                <w:szCs w:val="20"/>
                <w:color w:val="auto"/>
              </w:rPr>
              <w:t>Capitalization and Subsidiaries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3.16.</w:t>
            </w:r>
          </w:p>
        </w:tc>
        <w:tc>
          <w:tcPr>
            <w:tcW w:w="120" w:type="dxa"/>
            <w:vAlign w:val="bottom"/>
          </w:tcPr>
          <w:p>
            <w:pPr>
              <w:spacing w:after="0"/>
              <w:rPr>
                <w:sz w:val="21"/>
                <w:szCs w:val="21"/>
                <w:color w:val="auto"/>
              </w:rPr>
            </w:pPr>
          </w:p>
        </w:tc>
        <w:tc>
          <w:tcPr>
            <w:tcW w:w="2440" w:type="dxa"/>
            <w:vAlign w:val="bottom"/>
            <w:tcBorders>
              <w:top w:val="single" w:sz="8" w:color="auto"/>
            </w:tcBorders>
            <w:gridSpan w:val="26"/>
          </w:tcPr>
          <w:p>
            <w:pPr>
              <w:spacing w:after="0"/>
              <w:rPr>
                <w:sz w:val="20"/>
                <w:szCs w:val="20"/>
                <w:color w:val="auto"/>
              </w:rPr>
            </w:pPr>
            <w:r>
              <w:rPr>
                <w:rFonts w:ascii="Times New Roman" w:cs="Times New Roman" w:eastAsia="Times New Roman" w:hAnsi="Times New Roman"/>
                <w:sz w:val="20"/>
                <w:szCs w:val="20"/>
                <w:color w:val="auto"/>
              </w:rPr>
              <w:t>Security Interest in Collateral</w:t>
            </w:r>
          </w:p>
        </w:tc>
        <w:tc>
          <w:tcPr>
            <w:tcW w:w="80" w:type="dxa"/>
            <w:vAlign w:val="bottom"/>
            <w:gridSpan w:val="2"/>
          </w:tcPr>
          <w:p>
            <w:pPr>
              <w:spacing w:after="0"/>
              <w:rPr>
                <w:sz w:val="21"/>
                <w:szCs w:val="21"/>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89"/>
              </w:rPr>
              <w:t>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3.17.</w:t>
            </w:r>
          </w:p>
        </w:tc>
        <w:tc>
          <w:tcPr>
            <w:tcW w:w="120" w:type="dxa"/>
            <w:vAlign w:val="bottom"/>
          </w:tcPr>
          <w:p>
            <w:pPr>
              <w:spacing w:after="0"/>
              <w:rPr>
                <w:sz w:val="20"/>
                <w:szCs w:val="20"/>
                <w:color w:val="auto"/>
              </w:rPr>
            </w:pPr>
          </w:p>
        </w:tc>
        <w:tc>
          <w:tcPr>
            <w:tcW w:w="174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Employment Matters</w:t>
            </w:r>
          </w:p>
        </w:tc>
        <w:tc>
          <w:tcPr>
            <w:tcW w:w="3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3.18.</w:t>
            </w:r>
          </w:p>
        </w:tc>
        <w:tc>
          <w:tcPr>
            <w:tcW w:w="120" w:type="dxa"/>
            <w:vAlign w:val="bottom"/>
          </w:tcPr>
          <w:p>
            <w:pPr>
              <w:spacing w:after="0"/>
              <w:rPr>
                <w:sz w:val="21"/>
                <w:szCs w:val="21"/>
                <w:color w:val="auto"/>
              </w:rPr>
            </w:pPr>
          </w:p>
        </w:tc>
        <w:tc>
          <w:tcPr>
            <w:tcW w:w="1560" w:type="dxa"/>
            <w:vAlign w:val="bottom"/>
            <w:tcBorders>
              <w:top w:val="single" w:sz="8" w:color="auto"/>
              <w:bottom w:val="single" w:sz="8" w:color="auto"/>
            </w:tcBorders>
            <w:gridSpan w:val="12"/>
          </w:tcPr>
          <w:p>
            <w:pPr>
              <w:spacing w:after="0"/>
              <w:rPr>
                <w:sz w:val="20"/>
                <w:szCs w:val="20"/>
                <w:color w:val="auto"/>
              </w:rPr>
            </w:pPr>
            <w:r>
              <w:rPr>
                <w:rFonts w:ascii="Times New Roman" w:cs="Times New Roman" w:eastAsia="Times New Roman" w:hAnsi="Times New Roman"/>
                <w:sz w:val="20"/>
                <w:szCs w:val="20"/>
                <w:color w:val="auto"/>
                <w:w w:val="96"/>
              </w:rPr>
              <w:t>Margin Regulations</w:t>
            </w:r>
          </w:p>
        </w:tc>
        <w:tc>
          <w:tcPr>
            <w:tcW w:w="10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w w:val="99"/>
              </w:rPr>
              <w:t>79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3.19.</w:t>
            </w:r>
          </w:p>
        </w:tc>
        <w:tc>
          <w:tcPr>
            <w:tcW w:w="120" w:type="dxa"/>
            <w:vAlign w:val="bottom"/>
          </w:tcPr>
          <w:p>
            <w:pPr>
              <w:spacing w:after="0"/>
              <w:rPr>
                <w:sz w:val="20"/>
                <w:szCs w:val="20"/>
                <w:color w:val="auto"/>
              </w:rPr>
            </w:pPr>
          </w:p>
        </w:tc>
        <w:tc>
          <w:tcPr>
            <w:tcW w:w="12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w w:val="96"/>
              </w:rPr>
              <w:t>Use of Proceeds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w w:val="89"/>
              </w:rPr>
              <w:t>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3.20.</w:t>
            </w:r>
          </w:p>
        </w:tc>
        <w:tc>
          <w:tcPr>
            <w:tcW w:w="120" w:type="dxa"/>
            <w:vAlign w:val="bottom"/>
          </w:tcPr>
          <w:p>
            <w:pPr>
              <w:spacing w:after="0"/>
              <w:rPr>
                <w:sz w:val="21"/>
                <w:szCs w:val="21"/>
                <w:color w:val="auto"/>
              </w:rPr>
            </w:pPr>
          </w:p>
        </w:tc>
        <w:tc>
          <w:tcPr>
            <w:tcW w:w="228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20"/>
                <w:szCs w:val="20"/>
                <w:color w:val="auto"/>
                <w:w w:val="97"/>
              </w:rPr>
              <w:t>No Burdensome Restrictions</w:t>
            </w:r>
          </w:p>
        </w:tc>
        <w:tc>
          <w:tcPr>
            <w:tcW w:w="600" w:type="dxa"/>
            <w:vAlign w:val="bottom"/>
            <w:gridSpan w:val="6"/>
          </w:tcPr>
          <w:p>
            <w:pPr>
              <w:jc w:val="right"/>
              <w:ind w:right="121"/>
              <w:spacing w:after="0"/>
              <w:rPr>
                <w:sz w:val="20"/>
                <w:szCs w:val="20"/>
                <w:color w:val="auto"/>
              </w:rPr>
            </w:pPr>
            <w:r>
              <w:rPr>
                <w:rFonts w:ascii="Times New Roman" w:cs="Times New Roman" w:eastAsia="Times New Roman" w:hAnsi="Times New Roman"/>
                <w:sz w:val="20"/>
                <w:szCs w:val="20"/>
                <w:color w:val="auto"/>
              </w:rPr>
              <w:t>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3.21.</w:t>
            </w:r>
          </w:p>
        </w:tc>
        <w:tc>
          <w:tcPr>
            <w:tcW w:w="120" w:type="dxa"/>
            <w:vAlign w:val="bottom"/>
          </w:tcPr>
          <w:p>
            <w:pPr>
              <w:spacing w:after="0"/>
              <w:rPr>
                <w:sz w:val="21"/>
                <w:szCs w:val="21"/>
                <w:color w:val="auto"/>
              </w:rPr>
            </w:pPr>
          </w:p>
        </w:tc>
        <w:tc>
          <w:tcPr>
            <w:tcW w:w="302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Anti-Corruption Laws and Sanctions</w:t>
            </w:r>
          </w:p>
        </w:tc>
        <w:tc>
          <w:tcPr>
            <w:tcW w:w="4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79</w:t>
            </w: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3.22.</w:t>
            </w:r>
          </w:p>
        </w:tc>
        <w:tc>
          <w:tcPr>
            <w:tcW w:w="120" w:type="dxa"/>
            <w:vAlign w:val="bottom"/>
          </w:tcPr>
          <w:p>
            <w:pPr>
              <w:spacing w:after="0"/>
              <w:rPr>
                <w:sz w:val="20"/>
                <w:szCs w:val="20"/>
                <w:color w:val="auto"/>
              </w:rPr>
            </w:pPr>
          </w:p>
        </w:tc>
        <w:tc>
          <w:tcPr>
            <w:tcW w:w="2400" w:type="dxa"/>
            <w:vAlign w:val="bottom"/>
            <w:tcBorders>
              <w:top w:val="single" w:sz="8" w:color="auto"/>
              <w:bottom w:val="single" w:sz="8" w:color="auto"/>
            </w:tcBorders>
            <w:gridSpan w:val="25"/>
          </w:tcPr>
          <w:p>
            <w:pPr>
              <w:spacing w:after="0"/>
              <w:rPr>
                <w:sz w:val="20"/>
                <w:szCs w:val="20"/>
                <w:color w:val="auto"/>
              </w:rPr>
            </w:pPr>
            <w:r>
              <w:rPr>
                <w:rFonts w:ascii="Times New Roman" w:cs="Times New Roman" w:eastAsia="Times New Roman" w:hAnsi="Times New Roman"/>
                <w:sz w:val="20"/>
                <w:szCs w:val="20"/>
                <w:color w:val="auto"/>
                <w:w w:val="97"/>
              </w:rPr>
              <w:t>Affected Financial Institutions</w:t>
            </w:r>
          </w:p>
        </w:tc>
        <w:tc>
          <w:tcPr>
            <w:tcW w:w="120" w:type="dxa"/>
            <w:vAlign w:val="bottom"/>
            <w:tcBorders>
              <w:top w:val="single" w:sz="8" w:color="auto"/>
            </w:tcBorders>
            <w:gridSpan w:val="3"/>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0"/>
        </w:trPr>
        <w:tc>
          <w:tcPr>
            <w:tcW w:w="358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SECTION 3.23.  Common Enterprise.  80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3.24.</w:t>
            </w:r>
          </w:p>
        </w:tc>
        <w:tc>
          <w:tcPr>
            <w:tcW w:w="120" w:type="dxa"/>
            <w:vAlign w:val="bottom"/>
          </w:tcPr>
          <w:p>
            <w:pPr>
              <w:spacing w:after="0"/>
              <w:rPr>
                <w:sz w:val="20"/>
                <w:szCs w:val="20"/>
                <w:color w:val="auto"/>
              </w:rPr>
            </w:pPr>
          </w:p>
        </w:tc>
        <w:tc>
          <w:tcPr>
            <w:tcW w:w="302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Plan Assets; Prohibited Transactions</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80</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52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84"/>
        </w:trPr>
        <w:tc>
          <w:tcPr>
            <w:tcW w:w="2080" w:type="dxa"/>
            <w:vAlign w:val="bottom"/>
            <w:gridSpan w:val="4"/>
          </w:tcPr>
          <w:p>
            <w:pPr>
              <w:spacing w:after="0"/>
              <w:rPr>
                <w:sz w:val="20"/>
                <w:szCs w:val="20"/>
                <w:color w:val="auto"/>
              </w:rPr>
            </w:pPr>
            <w:r>
              <w:rPr>
                <w:rFonts w:ascii="Times New Roman" w:cs="Times New Roman" w:eastAsia="Times New Roman" w:hAnsi="Times New Roman"/>
                <w:sz w:val="20"/>
                <w:szCs w:val="20"/>
                <w:color w:val="010000"/>
              </w:rPr>
              <w:t xml:space="preserve">ARTICLE IV </w:t>
            </w:r>
            <w:r>
              <w:rPr>
                <w:rFonts w:ascii="Times New Roman" w:cs="Times New Roman" w:eastAsia="Times New Roman" w:hAnsi="Times New Roman"/>
                <w:sz w:val="20"/>
                <w:szCs w:val="20"/>
                <w:color w:val="000000"/>
              </w:rPr>
              <w:t>Conditions</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2"/>
        </w:trPr>
        <w:tc>
          <w:tcPr>
            <w:tcW w:w="14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4.01.</w:t>
            </w:r>
          </w:p>
        </w:tc>
        <w:tc>
          <w:tcPr>
            <w:tcW w:w="120" w:type="dxa"/>
            <w:vAlign w:val="bottom"/>
          </w:tcPr>
          <w:p>
            <w:pPr>
              <w:spacing w:after="0"/>
              <w:rPr>
                <w:sz w:val="18"/>
                <w:szCs w:val="18"/>
                <w:color w:val="auto"/>
              </w:rPr>
            </w:pPr>
          </w:p>
        </w:tc>
        <w:tc>
          <w:tcPr>
            <w:tcW w:w="1280" w:type="dxa"/>
            <w:vAlign w:val="bottom"/>
            <w:gridSpan w:val="8"/>
          </w:tcPr>
          <w:p>
            <w:pPr>
              <w:spacing w:after="0" w:line="212" w:lineRule="exact"/>
              <w:rPr>
                <w:sz w:val="20"/>
                <w:szCs w:val="20"/>
                <w:color w:val="auto"/>
              </w:rPr>
            </w:pPr>
            <w:r>
              <w:rPr>
                <w:rFonts w:ascii="Times New Roman" w:cs="Times New Roman" w:eastAsia="Times New Roman" w:hAnsi="Times New Roman"/>
                <w:sz w:val="20"/>
                <w:szCs w:val="20"/>
                <w:color w:val="auto"/>
              </w:rPr>
              <w:t>Effective Date</w:t>
            </w:r>
          </w:p>
        </w:tc>
        <w:tc>
          <w:tcPr>
            <w:tcW w:w="280" w:type="dxa"/>
            <w:vAlign w:val="bottom"/>
            <w:gridSpan w:val="4"/>
          </w:tcPr>
          <w:p>
            <w:pPr>
              <w:jc w:val="right"/>
              <w:spacing w:after="0" w:line="212" w:lineRule="exact"/>
              <w:rPr>
                <w:sz w:val="20"/>
                <w:szCs w:val="20"/>
                <w:color w:val="auto"/>
              </w:rPr>
            </w:pPr>
            <w:r>
              <w:rPr>
                <w:rFonts w:ascii="Times New Roman" w:cs="Times New Roman" w:eastAsia="Times New Roman" w:hAnsi="Times New Roman"/>
                <w:sz w:val="20"/>
                <w:szCs w:val="20"/>
                <w:color w:val="auto"/>
              </w:rPr>
              <w:t>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4.02.</w:t>
            </w:r>
          </w:p>
        </w:tc>
        <w:tc>
          <w:tcPr>
            <w:tcW w:w="120" w:type="dxa"/>
            <w:vAlign w:val="bottom"/>
          </w:tcPr>
          <w:p>
            <w:pPr>
              <w:spacing w:after="0"/>
              <w:rPr>
                <w:sz w:val="21"/>
                <w:szCs w:val="21"/>
                <w:color w:val="auto"/>
              </w:rPr>
            </w:pPr>
          </w:p>
        </w:tc>
        <w:tc>
          <w:tcPr>
            <w:tcW w:w="14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auto"/>
                <w:w w:val="96"/>
              </w:rPr>
              <w:t>Each Credit Event</w:t>
            </w:r>
          </w:p>
        </w:tc>
        <w:tc>
          <w:tcPr>
            <w:tcW w:w="20" w:type="dxa"/>
            <w:vAlign w:val="bottom"/>
          </w:tcPr>
          <w:p>
            <w:pPr>
              <w:spacing w:after="0"/>
              <w:rPr>
                <w:sz w:val="21"/>
                <w:szCs w:val="21"/>
                <w:color w:val="auto"/>
              </w:rPr>
            </w:pP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484"/>
        </w:trPr>
        <w:tc>
          <w:tcPr>
            <w:tcW w:w="2980" w:type="dxa"/>
            <w:vAlign w:val="bottom"/>
            <w:gridSpan w:val="13"/>
          </w:tcPr>
          <w:p>
            <w:pPr>
              <w:spacing w:after="0"/>
              <w:rPr>
                <w:sz w:val="20"/>
                <w:szCs w:val="20"/>
                <w:color w:val="auto"/>
              </w:rPr>
            </w:pPr>
            <w:r>
              <w:rPr>
                <w:rFonts w:ascii="Times New Roman" w:cs="Times New Roman" w:eastAsia="Times New Roman" w:hAnsi="Times New Roman"/>
                <w:sz w:val="20"/>
                <w:szCs w:val="20"/>
                <w:color w:val="010000"/>
              </w:rPr>
              <w:t xml:space="preserve">ARTICLE V </w:t>
            </w:r>
            <w:r>
              <w:rPr>
                <w:rFonts w:ascii="Times New Roman" w:cs="Times New Roman" w:eastAsia="Times New Roman" w:hAnsi="Times New Roman"/>
                <w:sz w:val="20"/>
                <w:szCs w:val="20"/>
                <w:color w:val="000000"/>
              </w:rPr>
              <w:t>Affirmative Covenants</w:t>
            </w:r>
          </w:p>
        </w:tc>
        <w:tc>
          <w:tcPr>
            <w:tcW w:w="400" w:type="dxa"/>
            <w:vAlign w:val="bottom"/>
            <w:gridSpan w:val="5"/>
          </w:tcPr>
          <w:p>
            <w:pPr>
              <w:jc w:val="right"/>
              <w:ind w:right="1"/>
              <w:spacing w:after="0"/>
              <w:rPr>
                <w:sz w:val="20"/>
                <w:szCs w:val="20"/>
                <w:color w:val="auto"/>
              </w:rPr>
            </w:pPr>
            <w:r>
              <w:rPr>
                <w:rFonts w:ascii="Times New Roman" w:cs="Times New Roman" w:eastAsia="Times New Roman" w:hAnsi="Times New Roman"/>
                <w:sz w:val="20"/>
                <w:szCs w:val="20"/>
                <w:color w:val="auto"/>
              </w:rPr>
              <w:t>83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2"/>
        </w:trPr>
        <w:tc>
          <w:tcPr>
            <w:tcW w:w="14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5.01.</w:t>
            </w:r>
          </w:p>
        </w:tc>
        <w:tc>
          <w:tcPr>
            <w:tcW w:w="120" w:type="dxa"/>
            <w:vAlign w:val="bottom"/>
          </w:tcPr>
          <w:p>
            <w:pPr>
              <w:spacing w:after="0"/>
              <w:rPr>
                <w:sz w:val="18"/>
                <w:szCs w:val="18"/>
                <w:color w:val="auto"/>
              </w:rPr>
            </w:pPr>
          </w:p>
        </w:tc>
        <w:tc>
          <w:tcPr>
            <w:tcW w:w="5580" w:type="dxa"/>
            <w:vAlign w:val="bottom"/>
            <w:gridSpan w:val="37"/>
          </w:tcPr>
          <w:p>
            <w:pPr>
              <w:spacing w:after="0" w:line="212" w:lineRule="exact"/>
              <w:rPr>
                <w:sz w:val="20"/>
                <w:szCs w:val="20"/>
                <w:color w:val="auto"/>
              </w:rPr>
            </w:pPr>
            <w:r>
              <w:rPr>
                <w:rFonts w:ascii="Times New Roman" w:cs="Times New Roman" w:eastAsia="Times New Roman" w:hAnsi="Times New Roman"/>
                <w:sz w:val="20"/>
                <w:szCs w:val="20"/>
                <w:color w:val="auto"/>
              </w:rPr>
              <w:t>Financial Statements and Other Information  83</w:t>
            </w: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5.02.</w:t>
            </w:r>
          </w:p>
        </w:tc>
        <w:tc>
          <w:tcPr>
            <w:tcW w:w="120" w:type="dxa"/>
            <w:vAlign w:val="bottom"/>
          </w:tcPr>
          <w:p>
            <w:pPr>
              <w:spacing w:after="0"/>
              <w:rPr>
                <w:sz w:val="21"/>
                <w:szCs w:val="21"/>
                <w:color w:val="auto"/>
              </w:rPr>
            </w:pPr>
          </w:p>
        </w:tc>
        <w:tc>
          <w:tcPr>
            <w:tcW w:w="2120" w:type="dxa"/>
            <w:vAlign w:val="bottom"/>
            <w:tcBorders>
              <w:top w:val="single" w:sz="8" w:color="auto"/>
              <w:bottom w:val="single" w:sz="8" w:color="auto"/>
            </w:tcBorders>
            <w:gridSpan w:val="20"/>
          </w:tcPr>
          <w:p>
            <w:pPr>
              <w:spacing w:after="0"/>
              <w:rPr>
                <w:sz w:val="20"/>
                <w:szCs w:val="20"/>
                <w:color w:val="auto"/>
              </w:rPr>
            </w:pPr>
            <w:r>
              <w:rPr>
                <w:rFonts w:ascii="Times New Roman" w:cs="Times New Roman" w:eastAsia="Times New Roman" w:hAnsi="Times New Roman"/>
                <w:sz w:val="20"/>
                <w:szCs w:val="20"/>
                <w:color w:val="auto"/>
                <w:w w:val="97"/>
              </w:rPr>
              <w:t>Notices of Material Events</w:t>
            </w:r>
          </w:p>
        </w:tc>
        <w:tc>
          <w:tcPr>
            <w:tcW w:w="160" w:type="dxa"/>
            <w:vAlign w:val="bottom"/>
            <w:tcBorders>
              <w:top w:val="single" w:sz="8" w:color="auto"/>
            </w:tcBorders>
            <w:gridSpan w:val="3"/>
          </w:tcPr>
          <w:p>
            <w:pPr>
              <w:spacing w:after="0"/>
              <w:rPr>
                <w:sz w:val="21"/>
                <w:szCs w:val="21"/>
                <w:color w:val="auto"/>
              </w:rPr>
            </w:pPr>
          </w:p>
        </w:tc>
        <w:tc>
          <w:tcPr>
            <w:tcW w:w="24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20"/>
                <w:szCs w:val="20"/>
                <w:color w:val="auto"/>
                <w:w w:val="99"/>
              </w:rPr>
              <w:t>85</w:t>
            </w:r>
          </w:p>
        </w:tc>
        <w:tc>
          <w:tcPr>
            <w:tcW w:w="3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5.03.</w:t>
            </w:r>
          </w:p>
        </w:tc>
        <w:tc>
          <w:tcPr>
            <w:tcW w:w="120" w:type="dxa"/>
            <w:vAlign w:val="bottom"/>
          </w:tcPr>
          <w:p>
            <w:pPr>
              <w:spacing w:after="0"/>
              <w:rPr>
                <w:sz w:val="20"/>
                <w:szCs w:val="20"/>
                <w:color w:val="auto"/>
              </w:rPr>
            </w:pPr>
          </w:p>
        </w:tc>
        <w:tc>
          <w:tcPr>
            <w:tcW w:w="2520" w:type="dxa"/>
            <w:vAlign w:val="bottom"/>
            <w:gridSpan w:val="28"/>
          </w:tcPr>
          <w:p>
            <w:pPr>
              <w:spacing w:after="0"/>
              <w:rPr>
                <w:sz w:val="20"/>
                <w:szCs w:val="20"/>
                <w:color w:val="auto"/>
              </w:rPr>
            </w:pPr>
            <w:r>
              <w:rPr>
                <w:rFonts w:ascii="Times New Roman" w:cs="Times New Roman" w:eastAsia="Times New Roman" w:hAnsi="Times New Roman"/>
                <w:sz w:val="20"/>
                <w:szCs w:val="20"/>
                <w:color w:val="auto"/>
                <w:w w:val="98"/>
              </w:rPr>
              <w:t>Existence; Conduct of Business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5.04.</w:t>
            </w:r>
          </w:p>
        </w:tc>
        <w:tc>
          <w:tcPr>
            <w:tcW w:w="120" w:type="dxa"/>
            <w:vAlign w:val="bottom"/>
          </w:tcPr>
          <w:p>
            <w:pPr>
              <w:spacing w:after="0"/>
              <w:rPr>
                <w:sz w:val="21"/>
                <w:szCs w:val="21"/>
                <w:color w:val="auto"/>
              </w:rPr>
            </w:pPr>
          </w:p>
        </w:tc>
        <w:tc>
          <w:tcPr>
            <w:tcW w:w="2060" w:type="dxa"/>
            <w:vAlign w:val="bottom"/>
            <w:tcBorders>
              <w:top w:val="single" w:sz="8" w:color="auto"/>
            </w:tcBorders>
            <w:gridSpan w:val="18"/>
          </w:tcPr>
          <w:p>
            <w:pPr>
              <w:spacing w:after="0"/>
              <w:rPr>
                <w:sz w:val="20"/>
                <w:szCs w:val="20"/>
                <w:color w:val="auto"/>
              </w:rPr>
            </w:pPr>
            <w:r>
              <w:rPr>
                <w:rFonts w:ascii="Times New Roman" w:cs="Times New Roman" w:eastAsia="Times New Roman" w:hAnsi="Times New Roman"/>
                <w:sz w:val="20"/>
                <w:szCs w:val="20"/>
                <w:color w:val="auto"/>
              </w:rPr>
              <w:t>Payment of Obligations</w:t>
            </w:r>
          </w:p>
        </w:tc>
        <w:tc>
          <w:tcPr>
            <w:tcW w:w="220" w:type="dxa"/>
            <w:vAlign w:val="bottom"/>
            <w:tcBorders>
              <w:top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20"/>
                <w:szCs w:val="20"/>
                <w:color w:val="auto"/>
                <w:w w:val="89"/>
              </w:rPr>
              <w:t>86</w:t>
            </w: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460" w:type="dxa"/>
            <w:vAlign w:val="bottom"/>
            <w:gridSpan w:val="7"/>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5.05.</w:t>
            </w:r>
          </w:p>
        </w:tc>
        <w:tc>
          <w:tcPr>
            <w:tcW w:w="120" w:type="dxa"/>
            <w:vAlign w:val="bottom"/>
          </w:tcPr>
          <w:p>
            <w:pPr>
              <w:spacing w:after="0"/>
              <w:rPr>
                <w:sz w:val="21"/>
                <w:szCs w:val="21"/>
                <w:color w:val="auto"/>
              </w:rPr>
            </w:pPr>
          </w:p>
        </w:tc>
        <w:tc>
          <w:tcPr>
            <w:tcW w:w="208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20"/>
                <w:szCs w:val="20"/>
                <w:color w:val="auto"/>
                <w:w w:val="97"/>
              </w:rPr>
              <w:t>Maintenance of Properties</w:t>
            </w:r>
          </w:p>
        </w:tc>
        <w:tc>
          <w:tcPr>
            <w:tcW w:w="200" w:type="dxa"/>
            <w:vAlign w:val="bottom"/>
            <w:gridSpan w:val="4"/>
          </w:tcPr>
          <w:p>
            <w:pPr>
              <w:spacing w:after="0"/>
              <w:rPr>
                <w:sz w:val="21"/>
                <w:szCs w:val="21"/>
                <w:color w:val="auto"/>
              </w:rPr>
            </w:pPr>
          </w:p>
        </w:tc>
        <w:tc>
          <w:tcPr>
            <w:tcW w:w="22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86</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5.06.</w:t>
            </w:r>
          </w:p>
        </w:tc>
        <w:tc>
          <w:tcPr>
            <w:tcW w:w="120" w:type="dxa"/>
            <w:vAlign w:val="bottom"/>
          </w:tcPr>
          <w:p>
            <w:pPr>
              <w:spacing w:after="0"/>
              <w:rPr>
                <w:sz w:val="20"/>
                <w:szCs w:val="20"/>
                <w:color w:val="auto"/>
              </w:rPr>
            </w:pPr>
          </w:p>
        </w:tc>
        <w:tc>
          <w:tcPr>
            <w:tcW w:w="3020" w:type="dxa"/>
            <w:vAlign w:val="bottom"/>
            <w:tcBorders>
              <w:bottom w:val="single" w:sz="8" w:color="auto"/>
            </w:tcBorders>
            <w:gridSpan w:val="32"/>
          </w:tcPr>
          <w:p>
            <w:pPr>
              <w:spacing w:after="0"/>
              <w:rPr>
                <w:sz w:val="20"/>
                <w:szCs w:val="20"/>
                <w:color w:val="auto"/>
              </w:rPr>
            </w:pPr>
            <w:r>
              <w:rPr>
                <w:rFonts w:ascii="Times New Roman" w:cs="Times New Roman" w:eastAsia="Times New Roman" w:hAnsi="Times New Roman"/>
                <w:sz w:val="20"/>
                <w:szCs w:val="20"/>
                <w:color w:val="auto"/>
                <w:w w:val="97"/>
              </w:rPr>
              <w:t>Books and Records; Inspection Rights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5.07.</w:t>
            </w:r>
          </w:p>
        </w:tc>
        <w:tc>
          <w:tcPr>
            <w:tcW w:w="120" w:type="dxa"/>
            <w:vAlign w:val="bottom"/>
          </w:tcPr>
          <w:p>
            <w:pPr>
              <w:spacing w:after="0"/>
              <w:rPr>
                <w:sz w:val="21"/>
                <w:szCs w:val="21"/>
                <w:color w:val="auto"/>
              </w:rPr>
            </w:pPr>
          </w:p>
        </w:tc>
        <w:tc>
          <w:tcPr>
            <w:tcW w:w="5580" w:type="dxa"/>
            <w:vAlign w:val="bottom"/>
            <w:gridSpan w:val="37"/>
          </w:tcPr>
          <w:p>
            <w:pPr>
              <w:spacing w:after="0"/>
              <w:rPr>
                <w:sz w:val="20"/>
                <w:szCs w:val="20"/>
                <w:color w:val="auto"/>
              </w:rPr>
            </w:pPr>
            <w:r>
              <w:rPr>
                <w:rFonts w:ascii="Times New Roman" w:cs="Times New Roman" w:eastAsia="Times New Roman" w:hAnsi="Times New Roman"/>
                <w:sz w:val="20"/>
                <w:szCs w:val="20"/>
                <w:color w:val="auto"/>
              </w:rPr>
              <w:t>Compliance with Laws and Material Contractual Obligations  87</w:t>
            </w:r>
          </w:p>
        </w:tc>
      </w:t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5.08.</w:t>
            </w:r>
          </w:p>
        </w:tc>
        <w:tc>
          <w:tcPr>
            <w:tcW w:w="120" w:type="dxa"/>
            <w:vAlign w:val="bottom"/>
          </w:tcPr>
          <w:p>
            <w:pPr>
              <w:spacing w:after="0"/>
              <w:rPr>
                <w:sz w:val="20"/>
                <w:szCs w:val="20"/>
                <w:color w:val="auto"/>
              </w:rPr>
            </w:pPr>
          </w:p>
        </w:tc>
        <w:tc>
          <w:tcPr>
            <w:tcW w:w="128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w w:val="96"/>
              </w:rPr>
              <w:t>Use of Proceeds</w:t>
            </w: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20"/>
                <w:szCs w:val="20"/>
                <w:color w:val="auto"/>
                <w:w w:val="89"/>
              </w:rPr>
              <w:t>87</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5.09.</w:t>
            </w:r>
          </w:p>
        </w:tc>
        <w:tc>
          <w:tcPr>
            <w:tcW w:w="120" w:type="dxa"/>
            <w:vAlign w:val="bottom"/>
          </w:tcPr>
          <w:p>
            <w:pPr>
              <w:spacing w:after="0"/>
              <w:rPr>
                <w:sz w:val="21"/>
                <w:szCs w:val="21"/>
                <w:color w:val="auto"/>
              </w:rPr>
            </w:pPr>
          </w:p>
        </w:tc>
        <w:tc>
          <w:tcPr>
            <w:tcW w:w="20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Accuracy of Information</w:t>
            </w:r>
          </w:p>
        </w:tc>
        <w:tc>
          <w:tcPr>
            <w:tcW w:w="340" w:type="dxa"/>
            <w:vAlign w:val="bottom"/>
            <w:gridSpan w:val="7"/>
          </w:tcPr>
          <w:p>
            <w:pPr>
              <w:jc w:val="right"/>
              <w:ind w:right="60"/>
              <w:spacing w:after="0"/>
              <w:rPr>
                <w:sz w:val="20"/>
                <w:szCs w:val="20"/>
                <w:color w:val="auto"/>
              </w:rPr>
            </w:pPr>
            <w:r>
              <w:rPr>
                <w:rFonts w:ascii="Times New Roman" w:cs="Times New Roman" w:eastAsia="Times New Roman" w:hAnsi="Times New Roman"/>
                <w:sz w:val="20"/>
                <w:szCs w:val="20"/>
                <w:color w:val="auto"/>
              </w:rPr>
              <w:t>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5.10.</w:t>
            </w: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w w:val="95"/>
              </w:rPr>
              <w:t>Insurance</w:t>
            </w:r>
          </w:p>
        </w:tc>
        <w:tc>
          <w:tcPr>
            <w:tcW w:w="1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88</w:t>
            </w: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5.11.</w:t>
            </w:r>
          </w:p>
        </w:tc>
        <w:tc>
          <w:tcPr>
            <w:tcW w:w="2400" w:type="dxa"/>
            <w:vAlign w:val="bottom"/>
            <w:gridSpan w:val="24"/>
          </w:tcPr>
          <w:p>
            <w:pPr>
              <w:ind w:left="100"/>
              <w:spacing w:after="0"/>
              <w:rPr>
                <w:sz w:val="20"/>
                <w:szCs w:val="20"/>
                <w:color w:val="auto"/>
              </w:rPr>
            </w:pPr>
            <w:r>
              <w:rPr>
                <w:rFonts w:ascii="Times New Roman" w:cs="Times New Roman" w:eastAsia="Times New Roman" w:hAnsi="Times New Roman"/>
                <w:sz w:val="20"/>
                <w:szCs w:val="20"/>
                <w:color w:val="auto"/>
              </w:rPr>
              <w:t>Casualty and Condemnation</w:t>
            </w:r>
          </w:p>
        </w:tc>
        <w:tc>
          <w:tcPr>
            <w:tcW w:w="600" w:type="dxa"/>
            <w:vAlign w:val="bottom"/>
            <w:gridSpan w:val="6"/>
          </w:tcPr>
          <w:p>
            <w:pPr>
              <w:jc w:val="right"/>
              <w:ind w:right="161"/>
              <w:spacing w:after="0"/>
              <w:rPr>
                <w:sz w:val="20"/>
                <w:szCs w:val="20"/>
                <w:color w:val="auto"/>
              </w:rPr>
            </w:pPr>
            <w:r>
              <w:rPr>
                <w:rFonts w:ascii="Times New Roman" w:cs="Times New Roman" w:eastAsia="Times New Roman" w:hAnsi="Times New Roman"/>
                <w:sz w:val="20"/>
                <w:szCs w:val="20"/>
                <w:color w:val="auto"/>
              </w:rPr>
              <w:t>88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5.12.</w:t>
            </w:r>
          </w:p>
        </w:tc>
        <w:tc>
          <w:tcPr>
            <w:tcW w:w="120" w:type="dxa"/>
            <w:vAlign w:val="bottom"/>
          </w:tcPr>
          <w:p>
            <w:pPr>
              <w:spacing w:after="0"/>
              <w:rPr>
                <w:sz w:val="21"/>
                <w:szCs w:val="21"/>
                <w:color w:val="auto"/>
              </w:rPr>
            </w:pPr>
          </w:p>
        </w:tc>
        <w:tc>
          <w:tcPr>
            <w:tcW w:w="146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20"/>
                <w:szCs w:val="20"/>
                <w:color w:val="auto"/>
              </w:rPr>
              <w:t>Depository Banks</w:t>
            </w:r>
          </w:p>
        </w:tc>
        <w:tc>
          <w:tcPr>
            <w:tcW w:w="40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760" w:type="dxa"/>
            <w:vAlign w:val="bottom"/>
            <w:gridSpan w:val="12"/>
          </w:tcPr>
          <w:p>
            <w:pPr>
              <w:spacing w:after="0" w:line="20" w:lineRule="exact"/>
              <w:rPr>
                <w:sz w:val="1"/>
                <w:szCs w:val="1"/>
                <w:color w:val="auto"/>
              </w:rPr>
            </w:pPr>
          </w:p>
        </w:tc>
        <w:tc>
          <w:tcPr>
            <w:tcW w:w="3020" w:type="dxa"/>
            <w:vAlign w:val="bottom"/>
            <w:gridSpan w:val="1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5.13.</w:t>
            </w:r>
          </w:p>
        </w:tc>
        <w:tc>
          <w:tcPr>
            <w:tcW w:w="120" w:type="dxa"/>
            <w:vAlign w:val="bottom"/>
          </w:tcPr>
          <w:p>
            <w:pPr>
              <w:spacing w:after="0"/>
              <w:rPr>
                <w:sz w:val="20"/>
                <w:szCs w:val="20"/>
                <w:color w:val="auto"/>
              </w:rPr>
            </w:pPr>
          </w:p>
        </w:tc>
        <w:tc>
          <w:tcPr>
            <w:tcW w:w="5580" w:type="dxa"/>
            <w:vAlign w:val="bottom"/>
            <w:gridSpan w:val="37"/>
          </w:tcPr>
          <w:p>
            <w:pPr>
              <w:spacing w:after="0"/>
              <w:rPr>
                <w:sz w:val="20"/>
                <w:szCs w:val="20"/>
                <w:color w:val="auto"/>
              </w:rPr>
            </w:pPr>
            <w:r>
              <w:rPr>
                <w:rFonts w:ascii="Times New Roman" w:cs="Times New Roman" w:eastAsia="Times New Roman" w:hAnsi="Times New Roman"/>
                <w:sz w:val="20"/>
                <w:szCs w:val="20"/>
                <w:color w:val="auto"/>
              </w:rPr>
              <w:t>Subsidiary Guarantors; Additional Collateral; Further Assurances  88</w:t>
            </w: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5.14.</w:t>
            </w:r>
          </w:p>
        </w:tc>
        <w:tc>
          <w:tcPr>
            <w:tcW w:w="120" w:type="dxa"/>
            <w:vAlign w:val="bottom"/>
          </w:tcPr>
          <w:p>
            <w:pPr>
              <w:spacing w:after="0"/>
              <w:rPr>
                <w:sz w:val="21"/>
                <w:szCs w:val="21"/>
                <w:color w:val="auto"/>
              </w:rPr>
            </w:pPr>
          </w:p>
        </w:tc>
        <w:tc>
          <w:tcPr>
            <w:tcW w:w="2160" w:type="dxa"/>
            <w:vAlign w:val="bottom"/>
            <w:tcBorders>
              <w:top w:val="single" w:sz="8" w:color="auto"/>
              <w:bottom w:val="single" w:sz="8" w:color="auto"/>
            </w:tcBorders>
            <w:gridSpan w:val="21"/>
          </w:tcPr>
          <w:p>
            <w:pPr>
              <w:spacing w:after="0"/>
              <w:rPr>
                <w:sz w:val="20"/>
                <w:szCs w:val="20"/>
                <w:color w:val="auto"/>
              </w:rPr>
            </w:pPr>
            <w:r>
              <w:rPr>
                <w:rFonts w:ascii="Times New Roman" w:cs="Times New Roman" w:eastAsia="Times New Roman" w:hAnsi="Times New Roman"/>
                <w:sz w:val="20"/>
                <w:szCs w:val="20"/>
                <w:color w:val="auto"/>
                <w:w w:val="97"/>
              </w:rPr>
              <w:t>Post-Closing Requirements</w:t>
            </w:r>
          </w:p>
        </w:tc>
        <w:tc>
          <w:tcPr>
            <w:tcW w:w="120" w:type="dxa"/>
            <w:vAlign w:val="bottom"/>
            <w:tcBorders>
              <w:top w:val="single" w:sz="8" w:color="auto"/>
            </w:tcBorders>
            <w:gridSpan w:val="2"/>
          </w:tcPr>
          <w:p>
            <w:pPr>
              <w:spacing w:after="0"/>
              <w:rPr>
                <w:sz w:val="21"/>
                <w:szCs w:val="21"/>
                <w:color w:val="auto"/>
              </w:rPr>
            </w:pPr>
          </w:p>
        </w:tc>
        <w:tc>
          <w:tcPr>
            <w:tcW w:w="600" w:type="dxa"/>
            <w:vAlign w:val="bottom"/>
            <w:tcBorders>
              <w:top w:val="single" w:sz="8" w:color="auto"/>
            </w:tcBorders>
            <w:gridSpan w:val="6"/>
          </w:tcPr>
          <w:p>
            <w:pPr>
              <w:jc w:val="right"/>
              <w:ind w:right="221"/>
              <w:spacing w:after="0"/>
              <w:rPr>
                <w:sz w:val="20"/>
                <w:szCs w:val="20"/>
                <w:color w:val="auto"/>
              </w:rPr>
            </w:pPr>
            <w:r>
              <w:rPr>
                <w:rFonts w:ascii="Times New Roman" w:cs="Times New Roman" w:eastAsia="Times New Roman" w:hAnsi="Times New Roman"/>
                <w:sz w:val="20"/>
                <w:szCs w:val="20"/>
                <w:color w:val="auto"/>
              </w:rPr>
              <w:t>90</w:t>
            </w: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484"/>
        </w:trPr>
        <w:tc>
          <w:tcPr>
            <w:tcW w:w="2800" w:type="dxa"/>
            <w:vAlign w:val="bottom"/>
            <w:gridSpan w:val="10"/>
          </w:tcPr>
          <w:p>
            <w:pPr>
              <w:spacing w:after="0"/>
              <w:rPr>
                <w:sz w:val="20"/>
                <w:szCs w:val="20"/>
                <w:color w:val="auto"/>
              </w:rPr>
            </w:pPr>
            <w:r>
              <w:rPr>
                <w:rFonts w:ascii="Times New Roman" w:cs="Times New Roman" w:eastAsia="Times New Roman" w:hAnsi="Times New Roman"/>
                <w:sz w:val="20"/>
                <w:szCs w:val="20"/>
                <w:color w:val="010000"/>
              </w:rPr>
              <w:t xml:space="preserve">ARTICLE VI </w:t>
            </w:r>
            <w:r>
              <w:rPr>
                <w:rFonts w:ascii="Times New Roman" w:cs="Times New Roman" w:eastAsia="Times New Roman" w:hAnsi="Times New Roman"/>
                <w:sz w:val="20"/>
                <w:szCs w:val="20"/>
                <w:color w:val="000000"/>
              </w:rPr>
              <w:t>Negative Covenants</w:t>
            </w:r>
          </w:p>
        </w:tc>
        <w:tc>
          <w:tcPr>
            <w:tcW w:w="380" w:type="dxa"/>
            <w:vAlign w:val="bottom"/>
            <w:gridSpan w:val="6"/>
          </w:tcPr>
          <w:p>
            <w:pPr>
              <w:jc w:val="right"/>
              <w:ind w:right="40"/>
              <w:spacing w:after="0"/>
              <w:rPr>
                <w:sz w:val="20"/>
                <w:szCs w:val="20"/>
                <w:color w:val="auto"/>
              </w:rPr>
            </w:pPr>
            <w:r>
              <w:rPr>
                <w:rFonts w:ascii="Times New Roman" w:cs="Times New Roman" w:eastAsia="Times New Roman" w:hAnsi="Times New Roman"/>
                <w:sz w:val="20"/>
                <w:szCs w:val="20"/>
                <w:color w:val="auto"/>
              </w:rPr>
              <w:t>90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2"/>
        </w:trPr>
        <w:tc>
          <w:tcPr>
            <w:tcW w:w="14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6.01.</w:t>
            </w:r>
          </w:p>
        </w:tc>
        <w:tc>
          <w:tcPr>
            <w:tcW w:w="120" w:type="dxa"/>
            <w:vAlign w:val="bottom"/>
          </w:tcPr>
          <w:p>
            <w:pPr>
              <w:spacing w:after="0"/>
              <w:rPr>
                <w:sz w:val="18"/>
                <w:szCs w:val="18"/>
                <w:color w:val="auto"/>
              </w:rPr>
            </w:pPr>
          </w:p>
        </w:tc>
        <w:tc>
          <w:tcPr>
            <w:tcW w:w="1460" w:type="dxa"/>
            <w:vAlign w:val="bottom"/>
            <w:gridSpan w:val="11"/>
          </w:tcPr>
          <w:p>
            <w:pPr>
              <w:spacing w:after="0" w:line="212" w:lineRule="exact"/>
              <w:rPr>
                <w:sz w:val="20"/>
                <w:szCs w:val="20"/>
                <w:color w:val="auto"/>
              </w:rPr>
            </w:pPr>
            <w:r>
              <w:rPr>
                <w:rFonts w:ascii="Times New Roman" w:cs="Times New Roman" w:eastAsia="Times New Roman" w:hAnsi="Times New Roman"/>
                <w:sz w:val="20"/>
                <w:szCs w:val="20"/>
                <w:color w:val="auto"/>
              </w:rPr>
              <w:t>Indebtedness  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6.02.</w:t>
            </w:r>
          </w:p>
        </w:tc>
        <w:tc>
          <w:tcPr>
            <w:tcW w:w="120" w:type="dxa"/>
            <w:vAlign w:val="bottom"/>
          </w:tcPr>
          <w:p>
            <w:pPr>
              <w:spacing w:after="0"/>
              <w:rPr>
                <w:sz w:val="21"/>
                <w:szCs w:val="21"/>
                <w:color w:val="auto"/>
              </w:rPr>
            </w:pPr>
          </w:p>
        </w:tc>
        <w:tc>
          <w:tcPr>
            <w:tcW w:w="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Liens</w:t>
            </w: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20" w:type="dxa"/>
            <w:vAlign w:val="bottom"/>
            <w:gridSpan w:val="1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6.03.</w:t>
            </w:r>
          </w:p>
        </w:tc>
        <w:tc>
          <w:tcPr>
            <w:tcW w:w="120" w:type="dxa"/>
            <w:vAlign w:val="bottom"/>
          </w:tcPr>
          <w:p>
            <w:pPr>
              <w:spacing w:after="0"/>
              <w:rPr>
                <w:sz w:val="20"/>
                <w:szCs w:val="20"/>
                <w:color w:val="auto"/>
              </w:rPr>
            </w:pPr>
          </w:p>
        </w:tc>
        <w:tc>
          <w:tcPr>
            <w:tcW w:w="174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w w:val="96"/>
              </w:rPr>
              <w:t>Fundamental Changes</w:t>
            </w:r>
          </w:p>
        </w:tc>
        <w:tc>
          <w:tcPr>
            <w:tcW w:w="42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139"/>
          </w:cols>
          <w:pgMar w:left="320" w:top="1440" w:right="1440" w:bottom="1440" w:gutter="0" w:footer="0" w:header="0"/>
          <w:type w:val="continuous"/>
        </w:sectPr>
      </w:pPr>
    </w:p>
    <w:bookmarkStart w:id="6" w:name="page7"/>
    <w:bookmarkEnd w:id="6"/>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6.04.</w:t>
            </w:r>
          </w:p>
        </w:tc>
        <w:tc>
          <w:tcPr>
            <w:tcW w:w="120" w:type="dxa"/>
            <w:vAlign w:val="bottom"/>
          </w:tcPr>
          <w:p>
            <w:pPr>
              <w:spacing w:after="0"/>
              <w:rPr>
                <w:sz w:val="19"/>
                <w:szCs w:val="19"/>
                <w:color w:val="auto"/>
              </w:rPr>
            </w:pPr>
          </w:p>
        </w:tc>
        <w:tc>
          <w:tcPr>
            <w:tcW w:w="4920" w:type="dxa"/>
            <w:vAlign w:val="bottom"/>
            <w:gridSpan w:val="37"/>
          </w:tcPr>
          <w:p>
            <w:pPr>
              <w:spacing w:after="0"/>
              <w:rPr>
                <w:sz w:val="20"/>
                <w:szCs w:val="20"/>
                <w:color w:val="auto"/>
              </w:rPr>
            </w:pPr>
            <w:r>
              <w:rPr>
                <w:rFonts w:ascii="Times New Roman" w:cs="Times New Roman" w:eastAsia="Times New Roman" w:hAnsi="Times New Roman"/>
                <w:sz w:val="20"/>
                <w:szCs w:val="20"/>
                <w:color w:val="auto"/>
              </w:rPr>
              <w:t>Investments, Loans, Advances, Guarantees and Acquisitions</w:t>
            </w:r>
          </w:p>
        </w:tc>
        <w:tc>
          <w:tcPr>
            <w:tcW w:w="100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93</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6.05.</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w w:val="95"/>
              </w:rPr>
              <w:t>Asset Sales</w:t>
            </w:r>
          </w:p>
        </w:tc>
        <w:tc>
          <w:tcPr>
            <w:tcW w:w="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gridSpan w:val="5"/>
          </w:tcPr>
          <w:p>
            <w:pPr>
              <w:jc w:val="right"/>
              <w:ind w:right="41"/>
              <w:spacing w:after="0"/>
              <w:rPr>
                <w:sz w:val="20"/>
                <w:szCs w:val="20"/>
                <w:color w:val="auto"/>
              </w:rPr>
            </w:pPr>
            <w:r>
              <w:rPr>
                <w:rFonts w:ascii="Times New Roman" w:cs="Times New Roman" w:eastAsia="Times New Roman" w:hAnsi="Times New Roman"/>
                <w:sz w:val="20"/>
                <w:szCs w:val="20"/>
                <w:color w:val="auto"/>
              </w:rPr>
              <w:t>95</w:t>
            </w: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6.06.</w:t>
            </w:r>
          </w:p>
        </w:tc>
        <w:tc>
          <w:tcPr>
            <w:tcW w:w="120" w:type="dxa"/>
            <w:vAlign w:val="bottom"/>
          </w:tcPr>
          <w:p>
            <w:pPr>
              <w:spacing w:after="0"/>
              <w:rPr>
                <w:sz w:val="20"/>
                <w:szCs w:val="20"/>
                <w:color w:val="auto"/>
              </w:rPr>
            </w:pPr>
          </w:p>
        </w:tc>
        <w:tc>
          <w:tcPr>
            <w:tcW w:w="2720" w:type="dxa"/>
            <w:vAlign w:val="bottom"/>
            <w:gridSpan w:val="27"/>
          </w:tcPr>
          <w:p>
            <w:pPr>
              <w:spacing w:after="0"/>
              <w:rPr>
                <w:sz w:val="20"/>
                <w:szCs w:val="20"/>
                <w:color w:val="auto"/>
              </w:rPr>
            </w:pPr>
            <w:r>
              <w:rPr>
                <w:rFonts w:ascii="Times New Roman" w:cs="Times New Roman" w:eastAsia="Times New Roman" w:hAnsi="Times New Roman"/>
                <w:sz w:val="20"/>
                <w:szCs w:val="20"/>
                <w:color w:val="auto"/>
              </w:rPr>
              <w:t>Sale and Leaseback Transactions</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96</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6.07.</w:t>
            </w:r>
          </w:p>
        </w:tc>
        <w:tc>
          <w:tcPr>
            <w:tcW w:w="120" w:type="dxa"/>
            <w:vAlign w:val="bottom"/>
          </w:tcPr>
          <w:p>
            <w:pPr>
              <w:spacing w:after="0"/>
              <w:rPr>
                <w:sz w:val="21"/>
                <w:szCs w:val="21"/>
                <w:color w:val="auto"/>
              </w:rPr>
            </w:pPr>
          </w:p>
        </w:tc>
        <w:tc>
          <w:tcPr>
            <w:tcW w:w="1440" w:type="dxa"/>
            <w:vAlign w:val="bottom"/>
            <w:tcBorders>
              <w:top w:val="single" w:sz="8" w:color="auto"/>
              <w:bottom w:val="single" w:sz="8" w:color="auto"/>
            </w:tcBorders>
            <w:gridSpan w:val="13"/>
          </w:tcPr>
          <w:p>
            <w:pPr>
              <w:spacing w:after="0"/>
              <w:rPr>
                <w:sz w:val="20"/>
                <w:szCs w:val="20"/>
                <w:color w:val="auto"/>
              </w:rPr>
            </w:pPr>
            <w:r>
              <w:rPr>
                <w:rFonts w:ascii="Times New Roman" w:cs="Times New Roman" w:eastAsia="Times New Roman" w:hAnsi="Times New Roman"/>
                <w:sz w:val="20"/>
                <w:szCs w:val="20"/>
                <w:color w:val="auto"/>
                <w:w w:val="97"/>
              </w:rPr>
              <w:t>Swap Agreements</w:t>
            </w:r>
          </w:p>
        </w:tc>
        <w:tc>
          <w:tcPr>
            <w:tcW w:w="180" w:type="dxa"/>
            <w:vAlign w:val="bottom"/>
            <w:tcBorders>
              <w:top w:val="single" w:sz="8" w:color="auto"/>
            </w:tcBorders>
            <w:gridSpan w:val="3"/>
          </w:tcPr>
          <w:p>
            <w:pPr>
              <w:spacing w:after="0"/>
              <w:rPr>
                <w:sz w:val="21"/>
                <w:szCs w:val="21"/>
                <w:color w:val="auto"/>
              </w:rPr>
            </w:pPr>
          </w:p>
        </w:tc>
        <w:tc>
          <w:tcPr>
            <w:tcW w:w="2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89"/>
              </w:rPr>
              <w:t>96</w:t>
            </w: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6.08.</w:t>
            </w:r>
          </w:p>
        </w:tc>
        <w:tc>
          <w:tcPr>
            <w:tcW w:w="120" w:type="dxa"/>
            <w:vAlign w:val="bottom"/>
          </w:tcPr>
          <w:p>
            <w:pPr>
              <w:spacing w:after="0"/>
              <w:rPr>
                <w:sz w:val="20"/>
                <w:szCs w:val="20"/>
                <w:color w:val="auto"/>
              </w:rPr>
            </w:pPr>
          </w:p>
        </w:tc>
        <w:tc>
          <w:tcPr>
            <w:tcW w:w="4920" w:type="dxa"/>
            <w:vAlign w:val="bottom"/>
            <w:gridSpan w:val="37"/>
          </w:tcPr>
          <w:p>
            <w:pPr>
              <w:spacing w:after="0"/>
              <w:rPr>
                <w:sz w:val="20"/>
                <w:szCs w:val="20"/>
                <w:color w:val="auto"/>
              </w:rPr>
            </w:pPr>
            <w:r>
              <w:rPr>
                <w:rFonts w:ascii="Times New Roman" w:cs="Times New Roman" w:eastAsia="Times New Roman" w:hAnsi="Times New Roman"/>
                <w:sz w:val="20"/>
                <w:szCs w:val="20"/>
                <w:color w:val="auto"/>
                <w:w w:val="98"/>
              </w:rPr>
              <w:t>Restricted Payments; Payments of Subordinated Indebtedness</w:t>
            </w:r>
          </w:p>
        </w:tc>
        <w:tc>
          <w:tcPr>
            <w:tcW w:w="1000" w:type="dxa"/>
            <w:vAlign w:val="bottom"/>
          </w:tcPr>
          <w:p>
            <w:pPr>
              <w:jc w:val="right"/>
              <w:ind w:right="541"/>
              <w:spacing w:after="0"/>
              <w:rPr>
                <w:sz w:val="20"/>
                <w:szCs w:val="20"/>
                <w:color w:val="auto"/>
              </w:rPr>
            </w:pPr>
            <w:r>
              <w:rPr>
                <w:rFonts w:ascii="Times New Roman" w:cs="Times New Roman" w:eastAsia="Times New Roman" w:hAnsi="Times New Roman"/>
                <w:sz w:val="20"/>
                <w:szCs w:val="20"/>
                <w:color w:val="auto"/>
              </w:rPr>
              <w:t>96</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6.09.</w:t>
            </w:r>
          </w:p>
        </w:tc>
        <w:tc>
          <w:tcPr>
            <w:tcW w:w="120" w:type="dxa"/>
            <w:vAlign w:val="bottom"/>
          </w:tcPr>
          <w:p>
            <w:pPr>
              <w:spacing w:after="0"/>
              <w:rPr>
                <w:sz w:val="21"/>
                <w:szCs w:val="21"/>
                <w:color w:val="auto"/>
              </w:rPr>
            </w:pPr>
          </w:p>
        </w:tc>
        <w:tc>
          <w:tcPr>
            <w:tcW w:w="2220" w:type="dxa"/>
            <w:vAlign w:val="bottom"/>
            <w:tcBorders>
              <w:top w:val="single" w:sz="8" w:color="auto"/>
              <w:bottom w:val="single" w:sz="8" w:color="auto"/>
            </w:tcBorders>
            <w:gridSpan w:val="23"/>
          </w:tcPr>
          <w:p>
            <w:pPr>
              <w:spacing w:after="0"/>
              <w:rPr>
                <w:sz w:val="20"/>
                <w:szCs w:val="20"/>
                <w:color w:val="auto"/>
              </w:rPr>
            </w:pPr>
            <w:r>
              <w:rPr>
                <w:rFonts w:ascii="Times New Roman" w:cs="Times New Roman" w:eastAsia="Times New Roman" w:hAnsi="Times New Roman"/>
                <w:sz w:val="20"/>
                <w:szCs w:val="20"/>
                <w:color w:val="auto"/>
                <w:w w:val="97"/>
              </w:rPr>
              <w:t>Transactions with Affiliates</w:t>
            </w: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97</w:t>
            </w: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6.10.</w:t>
            </w:r>
          </w:p>
        </w:tc>
        <w:tc>
          <w:tcPr>
            <w:tcW w:w="120" w:type="dxa"/>
            <w:vAlign w:val="bottom"/>
          </w:tcPr>
          <w:p>
            <w:pPr>
              <w:spacing w:after="0"/>
              <w:rPr>
                <w:sz w:val="21"/>
                <w:szCs w:val="21"/>
                <w:color w:val="auto"/>
              </w:rPr>
            </w:pPr>
          </w:p>
        </w:tc>
        <w:tc>
          <w:tcPr>
            <w:tcW w:w="186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20"/>
                <w:szCs w:val="20"/>
                <w:color w:val="auto"/>
                <w:w w:val="97"/>
              </w:rPr>
              <w:t>Restrictive Agreements</w:t>
            </w:r>
          </w:p>
        </w:tc>
        <w:tc>
          <w:tcPr>
            <w:tcW w:w="140" w:type="dxa"/>
            <w:vAlign w:val="bottom"/>
            <w:gridSpan w:val="2"/>
          </w:tcPr>
          <w:p>
            <w:pPr>
              <w:spacing w:after="0"/>
              <w:rPr>
                <w:sz w:val="21"/>
                <w:szCs w:val="21"/>
                <w:color w:val="auto"/>
              </w:rPr>
            </w:pP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98</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6.11.</w:t>
            </w:r>
          </w:p>
        </w:tc>
        <w:tc>
          <w:tcPr>
            <w:tcW w:w="4100" w:type="dxa"/>
            <w:vAlign w:val="bottom"/>
            <w:gridSpan w:val="33"/>
          </w:tcPr>
          <w:p>
            <w:pPr>
              <w:ind w:left="100"/>
              <w:spacing w:after="0"/>
              <w:rPr>
                <w:sz w:val="20"/>
                <w:szCs w:val="20"/>
                <w:color w:val="auto"/>
              </w:rPr>
            </w:pPr>
            <w:r>
              <w:rPr>
                <w:rFonts w:ascii="Times New Roman" w:cs="Times New Roman" w:eastAsia="Times New Roman" w:hAnsi="Times New Roman"/>
                <w:sz w:val="20"/>
                <w:szCs w:val="20"/>
                <w:color w:val="auto"/>
              </w:rPr>
              <w:t>Amendment of Material Documents  98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6.12.</w:t>
            </w:r>
          </w:p>
        </w:tc>
        <w:tc>
          <w:tcPr>
            <w:tcW w:w="120" w:type="dxa"/>
            <w:vAlign w:val="bottom"/>
          </w:tcPr>
          <w:p>
            <w:pPr>
              <w:spacing w:after="0"/>
              <w:rPr>
                <w:sz w:val="21"/>
                <w:szCs w:val="21"/>
                <w:color w:val="auto"/>
              </w:rPr>
            </w:pPr>
          </w:p>
        </w:tc>
        <w:tc>
          <w:tcPr>
            <w:tcW w:w="1620" w:type="dxa"/>
            <w:vAlign w:val="bottom"/>
            <w:tcBorders>
              <w:top w:val="single" w:sz="8" w:color="auto"/>
            </w:tcBorders>
            <w:gridSpan w:val="16"/>
          </w:tcPr>
          <w:p>
            <w:pPr>
              <w:spacing w:after="0"/>
              <w:rPr>
                <w:sz w:val="20"/>
                <w:szCs w:val="20"/>
                <w:color w:val="auto"/>
              </w:rPr>
            </w:pPr>
            <w:r>
              <w:rPr>
                <w:rFonts w:ascii="Times New Roman" w:cs="Times New Roman" w:eastAsia="Times New Roman" w:hAnsi="Times New Roman"/>
                <w:sz w:val="20"/>
                <w:szCs w:val="20"/>
                <w:color w:val="auto"/>
                <w:w w:val="97"/>
              </w:rPr>
              <w:t>Financial Covenants</w:t>
            </w:r>
          </w:p>
        </w:tc>
        <w:tc>
          <w:tcPr>
            <w:tcW w:w="3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72"/>
        </w:trPr>
        <w:tc>
          <w:tcPr>
            <w:tcW w:w="2780" w:type="dxa"/>
            <w:vAlign w:val="bottom"/>
            <w:gridSpan w:val="13"/>
          </w:tcPr>
          <w:p>
            <w:pPr>
              <w:spacing w:after="0"/>
              <w:rPr>
                <w:sz w:val="20"/>
                <w:szCs w:val="20"/>
                <w:color w:val="auto"/>
              </w:rPr>
            </w:pPr>
            <w:r>
              <w:rPr>
                <w:rFonts w:ascii="Times New Roman" w:cs="Times New Roman" w:eastAsia="Times New Roman" w:hAnsi="Times New Roman"/>
                <w:sz w:val="20"/>
                <w:szCs w:val="20"/>
                <w:color w:val="010000"/>
              </w:rPr>
              <w:t xml:space="preserve">ARTICLE VII </w:t>
            </w:r>
            <w:r>
              <w:rPr>
                <w:rFonts w:ascii="Times New Roman" w:cs="Times New Roman" w:eastAsia="Times New Roman" w:hAnsi="Times New Roman"/>
                <w:sz w:val="20"/>
                <w:szCs w:val="20"/>
                <w:color w:val="000000"/>
              </w:rPr>
              <w:t>Events of Default</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w w:val="99"/>
              </w:rPr>
              <w:t>99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59"/>
        </w:trPr>
        <w:tc>
          <w:tcPr>
            <w:tcW w:w="3520" w:type="dxa"/>
            <w:vAlign w:val="bottom"/>
            <w:gridSpan w:val="23"/>
          </w:tcPr>
          <w:p>
            <w:pPr>
              <w:spacing w:after="0"/>
              <w:rPr>
                <w:sz w:val="20"/>
                <w:szCs w:val="20"/>
                <w:color w:val="auto"/>
              </w:rPr>
            </w:pPr>
            <w:r>
              <w:rPr>
                <w:rFonts w:ascii="Times New Roman" w:cs="Times New Roman" w:eastAsia="Times New Roman" w:hAnsi="Times New Roman"/>
                <w:sz w:val="20"/>
                <w:szCs w:val="20"/>
                <w:color w:val="010000"/>
              </w:rPr>
              <w:t xml:space="preserve">ARTICLE VIII </w:t>
            </w:r>
            <w:r>
              <w:rPr>
                <w:rFonts w:ascii="Times New Roman" w:cs="Times New Roman" w:eastAsia="Times New Roman" w:hAnsi="Times New Roman"/>
                <w:sz w:val="20"/>
                <w:szCs w:val="20"/>
                <w:color w:val="000000"/>
              </w:rPr>
              <w:t>The Administrative Agent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99"/>
              </w:rPr>
              <w:t>102</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3"/>
        </w:trPr>
        <w:tc>
          <w:tcPr>
            <w:tcW w:w="14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SECTION 8.01.</w:t>
            </w:r>
          </w:p>
        </w:tc>
        <w:tc>
          <w:tcPr>
            <w:tcW w:w="120" w:type="dxa"/>
            <w:vAlign w:val="bottom"/>
          </w:tcPr>
          <w:p>
            <w:pPr>
              <w:spacing w:after="0"/>
              <w:rPr>
                <w:sz w:val="19"/>
                <w:szCs w:val="19"/>
                <w:color w:val="auto"/>
              </w:rPr>
            </w:pPr>
          </w:p>
        </w:tc>
        <w:tc>
          <w:tcPr>
            <w:tcW w:w="2000" w:type="dxa"/>
            <w:vAlign w:val="bottom"/>
            <w:tcBorders>
              <w:bottom w:val="single" w:sz="8" w:color="auto"/>
            </w:tcBorders>
            <w:gridSpan w:val="21"/>
          </w:tcPr>
          <w:p>
            <w:pPr>
              <w:spacing w:after="0" w:line="224" w:lineRule="exact"/>
              <w:rPr>
                <w:sz w:val="20"/>
                <w:szCs w:val="20"/>
                <w:color w:val="auto"/>
              </w:rPr>
            </w:pPr>
            <w:r>
              <w:rPr>
                <w:rFonts w:ascii="Times New Roman" w:cs="Times New Roman" w:eastAsia="Times New Roman" w:hAnsi="Times New Roman"/>
                <w:sz w:val="20"/>
                <w:szCs w:val="20"/>
                <w:color w:val="auto"/>
                <w:w w:val="96"/>
              </w:rPr>
              <w:t>Authorization and Action</w:t>
            </w:r>
          </w:p>
        </w:tc>
        <w:tc>
          <w:tcPr>
            <w:tcW w:w="540" w:type="dxa"/>
            <w:vAlign w:val="bottom"/>
            <w:gridSpan w:val="4"/>
          </w:tcPr>
          <w:p>
            <w:pPr>
              <w:jc w:val="right"/>
              <w:spacing w:after="0" w:line="224" w:lineRule="exact"/>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7"/>
        </w:trPr>
        <w:tc>
          <w:tcPr>
            <w:tcW w:w="8240" w:type="dxa"/>
            <w:vAlign w:val="bottom"/>
            <w:gridSpan w:val="42"/>
          </w:tcPr>
          <w:p>
            <w:pPr>
              <w:spacing w:after="0"/>
              <w:rPr>
                <w:sz w:val="20"/>
                <w:szCs w:val="20"/>
                <w:color w:val="auto"/>
              </w:rPr>
            </w:pPr>
            <w:r>
              <w:rPr>
                <w:rFonts w:ascii="Times New Roman" w:cs="Times New Roman" w:eastAsia="Times New Roman" w:hAnsi="Times New Roman"/>
                <w:sz w:val="20"/>
                <w:szCs w:val="20"/>
                <w:color w:val="auto"/>
              </w:rPr>
              <w:t>SECTION 8.02.  Administrative Agent’s Reliance, Limitation of Liability, Indemnification, Etc.  105</w:t>
            </w: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8.03.</w:t>
            </w:r>
          </w:p>
        </w:tc>
        <w:tc>
          <w:tcPr>
            <w:tcW w:w="120" w:type="dxa"/>
            <w:vAlign w:val="bottom"/>
          </w:tcPr>
          <w:p>
            <w:pPr>
              <w:spacing w:after="0"/>
              <w:rPr>
                <w:sz w:val="21"/>
                <w:szCs w:val="21"/>
                <w:color w:val="auto"/>
              </w:rPr>
            </w:pPr>
          </w:p>
        </w:tc>
        <w:tc>
          <w:tcPr>
            <w:tcW w:w="2220" w:type="dxa"/>
            <w:vAlign w:val="bottom"/>
            <w:tcBorders>
              <w:top w:val="single" w:sz="8" w:color="auto"/>
              <w:bottom w:val="single" w:sz="8" w:color="auto"/>
            </w:tcBorders>
            <w:gridSpan w:val="23"/>
          </w:tcPr>
          <w:p>
            <w:pPr>
              <w:spacing w:after="0"/>
              <w:rPr>
                <w:sz w:val="20"/>
                <w:szCs w:val="20"/>
                <w:color w:val="auto"/>
              </w:rPr>
            </w:pPr>
            <w:r>
              <w:rPr>
                <w:rFonts w:ascii="Times New Roman" w:cs="Times New Roman" w:eastAsia="Times New Roman" w:hAnsi="Times New Roman"/>
                <w:sz w:val="20"/>
                <w:szCs w:val="20"/>
                <w:color w:val="auto"/>
                <w:w w:val="97"/>
              </w:rPr>
              <w:t>Posting of Communications</w:t>
            </w: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99"/>
              </w:rPr>
              <w:t>106</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00" w:type="dxa"/>
            <w:vAlign w:val="bottom"/>
          </w:tcPr>
          <w:p>
            <w:pPr>
              <w:spacing w:after="0"/>
              <w:rPr>
                <w:sz w:val="21"/>
                <w:szCs w:val="2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8.04.</w:t>
            </w:r>
          </w:p>
        </w:tc>
        <w:tc>
          <w:tcPr>
            <w:tcW w:w="120" w:type="dxa"/>
            <w:vAlign w:val="bottom"/>
          </w:tcPr>
          <w:p>
            <w:pPr>
              <w:spacing w:after="0"/>
              <w:rPr>
                <w:sz w:val="20"/>
                <w:szCs w:val="20"/>
                <w:color w:val="auto"/>
              </w:rPr>
            </w:pPr>
          </w:p>
        </w:tc>
        <w:tc>
          <w:tcPr>
            <w:tcW w:w="398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The Administrative Agent Individually  107</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8.05.</w:t>
            </w:r>
          </w:p>
        </w:tc>
        <w:tc>
          <w:tcPr>
            <w:tcW w:w="120" w:type="dxa"/>
            <w:vAlign w:val="bottom"/>
          </w:tcPr>
          <w:p>
            <w:pPr>
              <w:spacing w:after="0"/>
              <w:rPr>
                <w:sz w:val="21"/>
                <w:szCs w:val="21"/>
                <w:color w:val="auto"/>
              </w:rPr>
            </w:pPr>
          </w:p>
        </w:tc>
        <w:tc>
          <w:tcPr>
            <w:tcW w:w="2720" w:type="dxa"/>
            <w:vAlign w:val="bottom"/>
            <w:tcBorders>
              <w:top w:val="single" w:sz="8" w:color="auto"/>
            </w:tcBorders>
            <w:gridSpan w:val="27"/>
          </w:tcPr>
          <w:p>
            <w:pPr>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3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107</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8.06.</w:t>
            </w:r>
          </w:p>
        </w:tc>
        <w:tc>
          <w:tcPr>
            <w:tcW w:w="120" w:type="dxa"/>
            <w:vAlign w:val="bottom"/>
          </w:tcPr>
          <w:p>
            <w:pPr>
              <w:spacing w:after="0"/>
              <w:rPr>
                <w:sz w:val="21"/>
                <w:szCs w:val="21"/>
                <w:color w:val="auto"/>
              </w:rPr>
            </w:pPr>
          </w:p>
        </w:tc>
        <w:tc>
          <w:tcPr>
            <w:tcW w:w="398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Acknowledgments of Lenders and Issuing Banks</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8.07.</w:t>
            </w:r>
          </w:p>
        </w:tc>
        <w:tc>
          <w:tcPr>
            <w:tcW w:w="120" w:type="dxa"/>
            <w:vAlign w:val="bottom"/>
          </w:tcPr>
          <w:p>
            <w:pPr>
              <w:spacing w:after="0"/>
              <w:rPr>
                <w:sz w:val="20"/>
                <w:szCs w:val="20"/>
                <w:color w:val="auto"/>
              </w:rPr>
            </w:pPr>
          </w:p>
        </w:tc>
        <w:tc>
          <w:tcPr>
            <w:tcW w:w="1420" w:type="dxa"/>
            <w:vAlign w:val="bottom"/>
            <w:tcBorders>
              <w:top w:val="single" w:sz="8" w:color="auto"/>
              <w:bottom w:val="single" w:sz="8" w:color="auto"/>
            </w:tcBorders>
            <w:gridSpan w:val="12"/>
          </w:tcPr>
          <w:p>
            <w:pPr>
              <w:spacing w:after="0"/>
              <w:rPr>
                <w:sz w:val="20"/>
                <w:szCs w:val="20"/>
                <w:color w:val="auto"/>
              </w:rPr>
            </w:pPr>
            <w:r>
              <w:rPr>
                <w:rFonts w:ascii="Times New Roman" w:cs="Times New Roman" w:eastAsia="Times New Roman" w:hAnsi="Times New Roman"/>
                <w:sz w:val="20"/>
                <w:szCs w:val="20"/>
                <w:color w:val="auto"/>
                <w:w w:val="96"/>
              </w:rPr>
              <w:t>Collateral Matters</w:t>
            </w:r>
          </w:p>
        </w:tc>
        <w:tc>
          <w:tcPr>
            <w:tcW w:w="200" w:type="dxa"/>
            <w:vAlign w:val="bottom"/>
            <w:tcBorders>
              <w:top w:val="single" w:sz="8" w:color="auto"/>
            </w:tcBorders>
            <w:gridSpan w:val="4"/>
          </w:tcPr>
          <w:p>
            <w:pPr>
              <w:spacing w:after="0"/>
              <w:rPr>
                <w:sz w:val="20"/>
                <w:szCs w:val="20"/>
                <w:color w:val="auto"/>
              </w:rPr>
            </w:pPr>
          </w:p>
        </w:tc>
        <w:tc>
          <w:tcPr>
            <w:tcW w:w="380" w:type="dxa"/>
            <w:vAlign w:val="bottom"/>
            <w:tcBorders>
              <w:top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0"/>
                <w:szCs w:val="20"/>
                <w:color w:val="auto"/>
                <w:w w:val="86"/>
              </w:rPr>
              <w:t>110</w:t>
            </w: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8.08.</w:t>
            </w:r>
          </w:p>
        </w:tc>
        <w:tc>
          <w:tcPr>
            <w:tcW w:w="120" w:type="dxa"/>
            <w:vAlign w:val="bottom"/>
          </w:tcPr>
          <w:p>
            <w:pPr>
              <w:spacing w:after="0"/>
              <w:rPr>
                <w:sz w:val="21"/>
                <w:szCs w:val="21"/>
                <w:color w:val="auto"/>
              </w:rPr>
            </w:pPr>
          </w:p>
        </w:tc>
        <w:tc>
          <w:tcPr>
            <w:tcW w:w="126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Credit Bidding</w:t>
            </w:r>
          </w:p>
        </w:tc>
        <w:tc>
          <w:tcPr>
            <w:tcW w:w="52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111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8.09.</w:t>
            </w:r>
          </w:p>
        </w:tc>
        <w:tc>
          <w:tcPr>
            <w:tcW w:w="120" w:type="dxa"/>
            <w:vAlign w:val="bottom"/>
          </w:tcPr>
          <w:p>
            <w:pPr>
              <w:spacing w:after="0"/>
              <w:rPr>
                <w:sz w:val="20"/>
                <w:szCs w:val="20"/>
                <w:color w:val="auto"/>
              </w:rPr>
            </w:pPr>
          </w:p>
        </w:tc>
        <w:tc>
          <w:tcPr>
            <w:tcW w:w="20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Certain ERISA Matters</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99"/>
              </w:rPr>
              <w:t>112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8.10.</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20"/>
                <w:szCs w:val="20"/>
                <w:color w:val="auto"/>
                <w:w w:val="94"/>
              </w:rPr>
              <w:t>Flood Laws</w:t>
            </w:r>
          </w:p>
        </w:tc>
        <w:tc>
          <w:tcPr>
            <w:tcW w:w="50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472"/>
        </w:trPr>
        <w:tc>
          <w:tcPr>
            <w:tcW w:w="2300" w:type="dxa"/>
            <w:vAlign w:val="bottom"/>
            <w:gridSpan w:val="6"/>
          </w:tcPr>
          <w:p>
            <w:pPr>
              <w:spacing w:after="0"/>
              <w:rPr>
                <w:sz w:val="20"/>
                <w:szCs w:val="20"/>
                <w:color w:val="auto"/>
              </w:rPr>
            </w:pPr>
            <w:r>
              <w:rPr>
                <w:rFonts w:ascii="Times New Roman" w:cs="Times New Roman" w:eastAsia="Times New Roman" w:hAnsi="Times New Roman"/>
                <w:sz w:val="20"/>
                <w:szCs w:val="20"/>
                <w:color w:val="010000"/>
                <w:w w:val="98"/>
              </w:rPr>
              <w:t xml:space="preserve">ARTICLE IX </w:t>
            </w:r>
            <w:r>
              <w:rPr>
                <w:rFonts w:ascii="Times New Roman" w:cs="Times New Roman" w:eastAsia="Times New Roman" w:hAnsi="Times New Roman"/>
                <w:sz w:val="20"/>
                <w:szCs w:val="20"/>
                <w:color w:val="000000"/>
                <w:w w:val="98"/>
              </w:rPr>
              <w:t>Miscellaneous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w w:val="99"/>
              </w:rPr>
              <w:t>114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3"/>
        </w:trPr>
        <w:tc>
          <w:tcPr>
            <w:tcW w:w="14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SECTION 9.01.</w:t>
            </w:r>
          </w:p>
        </w:tc>
        <w:tc>
          <w:tcPr>
            <w:tcW w:w="120" w:type="dxa"/>
            <w:vAlign w:val="bottom"/>
          </w:tcPr>
          <w:p>
            <w:pPr>
              <w:spacing w:after="0"/>
              <w:rPr>
                <w:sz w:val="19"/>
                <w:szCs w:val="19"/>
                <w:color w:val="auto"/>
              </w:rPr>
            </w:pPr>
          </w:p>
        </w:tc>
        <w:tc>
          <w:tcPr>
            <w:tcW w:w="780" w:type="dxa"/>
            <w:vAlign w:val="bottom"/>
            <w:gridSpan w:val="4"/>
          </w:tcPr>
          <w:p>
            <w:pPr>
              <w:spacing w:after="0" w:line="224" w:lineRule="exact"/>
              <w:rPr>
                <w:sz w:val="20"/>
                <w:szCs w:val="20"/>
                <w:color w:val="auto"/>
              </w:rPr>
            </w:pPr>
            <w:r>
              <w:rPr>
                <w:rFonts w:ascii="Times New Roman" w:cs="Times New Roman" w:eastAsia="Times New Roman" w:hAnsi="Times New Roman"/>
                <w:sz w:val="20"/>
                <w:szCs w:val="20"/>
                <w:color w:val="auto"/>
              </w:rPr>
              <w:t>Notices</w:t>
            </w:r>
          </w:p>
        </w:tc>
        <w:tc>
          <w:tcPr>
            <w:tcW w:w="380" w:type="dxa"/>
            <w:vAlign w:val="bottom"/>
            <w:gridSpan w:val="5"/>
          </w:tcPr>
          <w:p>
            <w:pPr>
              <w:jc w:val="right"/>
              <w:ind w:right="80"/>
              <w:spacing w:after="0" w:line="224" w:lineRule="exact"/>
              <w:rPr>
                <w:sz w:val="20"/>
                <w:szCs w:val="20"/>
                <w:color w:val="auto"/>
              </w:rPr>
            </w:pPr>
            <w:r>
              <w:rPr>
                <w:rFonts w:ascii="Times New Roman" w:cs="Times New Roman" w:eastAsia="Times New Roman" w:hAnsi="Times New Roman"/>
                <w:sz w:val="20"/>
                <w:szCs w:val="20"/>
                <w:color w:val="auto"/>
                <w:w w:val="93"/>
              </w:rPr>
              <w:t>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9.02.</w:t>
            </w:r>
          </w:p>
        </w:tc>
        <w:tc>
          <w:tcPr>
            <w:tcW w:w="120" w:type="dxa"/>
            <w:vAlign w:val="bottom"/>
          </w:tcPr>
          <w:p>
            <w:pPr>
              <w:spacing w:after="0"/>
              <w:rPr>
                <w:sz w:val="21"/>
                <w:szCs w:val="21"/>
                <w:color w:val="auto"/>
              </w:rPr>
            </w:pPr>
          </w:p>
        </w:tc>
        <w:tc>
          <w:tcPr>
            <w:tcW w:w="236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Waivers; Amendments  115</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9.03.</w:t>
            </w:r>
          </w:p>
        </w:tc>
        <w:tc>
          <w:tcPr>
            <w:tcW w:w="120" w:type="dxa"/>
            <w:vAlign w:val="bottom"/>
          </w:tcPr>
          <w:p>
            <w:pPr>
              <w:spacing w:after="0"/>
              <w:rPr>
                <w:sz w:val="20"/>
                <w:szCs w:val="20"/>
                <w:color w:val="auto"/>
              </w:rPr>
            </w:pPr>
          </w:p>
        </w:tc>
        <w:tc>
          <w:tcPr>
            <w:tcW w:w="3980" w:type="dxa"/>
            <w:vAlign w:val="bottom"/>
            <w:gridSpan w:val="32"/>
          </w:tcPr>
          <w:p>
            <w:pPr>
              <w:spacing w:after="0"/>
              <w:rPr>
                <w:sz w:val="20"/>
                <w:szCs w:val="20"/>
                <w:color w:val="auto"/>
              </w:rPr>
            </w:pPr>
            <w:r>
              <w:rPr>
                <w:rFonts w:ascii="Times New Roman" w:cs="Times New Roman" w:eastAsia="Times New Roman" w:hAnsi="Times New Roman"/>
                <w:sz w:val="20"/>
                <w:szCs w:val="20"/>
                <w:color w:val="auto"/>
                <w:w w:val="99"/>
              </w:rPr>
              <w:t>Expenses; Limitation of Liability; Indemnity; Etc</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118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9.04.</w:t>
            </w:r>
          </w:p>
        </w:tc>
        <w:tc>
          <w:tcPr>
            <w:tcW w:w="120" w:type="dxa"/>
            <w:vAlign w:val="bottom"/>
          </w:tcPr>
          <w:p>
            <w:pPr>
              <w:spacing w:after="0"/>
              <w:rPr>
                <w:sz w:val="21"/>
                <w:szCs w:val="21"/>
                <w:color w:val="auto"/>
              </w:rPr>
            </w:pPr>
          </w:p>
        </w:tc>
        <w:tc>
          <w:tcPr>
            <w:tcW w:w="2000" w:type="dxa"/>
            <w:vAlign w:val="bottom"/>
            <w:tcBorders>
              <w:top w:val="single" w:sz="8" w:color="auto"/>
            </w:tcBorders>
            <w:gridSpan w:val="21"/>
          </w:tcPr>
          <w:p>
            <w:pPr>
              <w:spacing w:after="0"/>
              <w:rPr>
                <w:sz w:val="20"/>
                <w:szCs w:val="20"/>
                <w:color w:val="auto"/>
              </w:rPr>
            </w:pPr>
            <w:r>
              <w:rPr>
                <w:rFonts w:ascii="Times New Roman" w:cs="Times New Roman" w:eastAsia="Times New Roman" w:hAnsi="Times New Roman"/>
                <w:sz w:val="20"/>
                <w:szCs w:val="20"/>
                <w:color w:val="auto"/>
              </w:rPr>
              <w:t>Successors and Assigns</w:t>
            </w:r>
          </w:p>
        </w:tc>
        <w:tc>
          <w:tcPr>
            <w:tcW w:w="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9.05.</w:t>
            </w: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4"/>
              </w:rPr>
              <w:t>Survival</w:t>
            </w:r>
          </w:p>
        </w:tc>
        <w:tc>
          <w:tcPr>
            <w:tcW w:w="120" w:type="dxa"/>
            <w:vAlign w:val="bottom"/>
            <w:tcBorders>
              <w:top w:val="single" w:sz="8" w:color="auto"/>
            </w:tcBorders>
            <w:gridSpan w:val="2"/>
          </w:tcPr>
          <w:p>
            <w:pPr>
              <w:spacing w:after="0"/>
              <w:rPr>
                <w:sz w:val="20"/>
                <w:szCs w:val="20"/>
                <w:color w:val="auto"/>
              </w:rPr>
            </w:pPr>
          </w:p>
        </w:tc>
        <w:tc>
          <w:tcPr>
            <w:tcW w:w="380" w:type="dxa"/>
            <w:vAlign w:val="bottom"/>
            <w:tcBorders>
              <w:top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123</w:t>
            </w: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9.06.</w:t>
            </w:r>
          </w:p>
        </w:tc>
        <w:tc>
          <w:tcPr>
            <w:tcW w:w="120" w:type="dxa"/>
            <w:vAlign w:val="bottom"/>
          </w:tcPr>
          <w:p>
            <w:pPr>
              <w:spacing w:after="0"/>
              <w:rPr>
                <w:sz w:val="21"/>
                <w:szCs w:val="21"/>
                <w:color w:val="auto"/>
              </w:rPr>
            </w:pPr>
          </w:p>
        </w:tc>
        <w:tc>
          <w:tcPr>
            <w:tcW w:w="4920" w:type="dxa"/>
            <w:vAlign w:val="bottom"/>
            <w:tcBorders>
              <w:bottom w:val="single" w:sz="8" w:color="auto"/>
            </w:tcBorders>
            <w:gridSpan w:val="37"/>
          </w:tcPr>
          <w:p>
            <w:pPr>
              <w:spacing w:after="0"/>
              <w:rPr>
                <w:sz w:val="20"/>
                <w:szCs w:val="20"/>
                <w:color w:val="auto"/>
              </w:rPr>
            </w:pPr>
            <w:r>
              <w:rPr>
                <w:rFonts w:ascii="Times New Roman" w:cs="Times New Roman" w:eastAsia="Times New Roman" w:hAnsi="Times New Roman"/>
                <w:sz w:val="20"/>
                <w:szCs w:val="20"/>
                <w:color w:val="auto"/>
                <w:w w:val="98"/>
              </w:rPr>
              <w:t>Counterparts; Integration; Effectiveness; Electronic Execution</w:t>
            </w:r>
          </w:p>
        </w:tc>
        <w:tc>
          <w:tcPr>
            <w:tcW w:w="10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123</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9.07.</w:t>
            </w:r>
          </w:p>
        </w:tc>
        <w:tc>
          <w:tcPr>
            <w:tcW w:w="120" w:type="dxa"/>
            <w:vAlign w:val="bottom"/>
          </w:tcPr>
          <w:p>
            <w:pPr>
              <w:spacing w:after="0"/>
              <w:rPr>
                <w:sz w:val="21"/>
                <w:szCs w:val="21"/>
                <w:color w:val="auto"/>
              </w:rPr>
            </w:pPr>
          </w:p>
        </w:tc>
        <w:tc>
          <w:tcPr>
            <w:tcW w:w="16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Severability  125</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9.08.</w:t>
            </w:r>
          </w:p>
        </w:tc>
        <w:tc>
          <w:tcPr>
            <w:tcW w:w="120" w:type="dxa"/>
            <w:vAlign w:val="bottom"/>
          </w:tcPr>
          <w:p>
            <w:pPr>
              <w:spacing w:after="0"/>
              <w:rPr>
                <w:sz w:val="20"/>
                <w:szCs w:val="20"/>
                <w:color w:val="auto"/>
              </w:rPr>
            </w:pPr>
          </w:p>
        </w:tc>
        <w:tc>
          <w:tcPr>
            <w:tcW w:w="126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Right of Setoff</w:t>
            </w:r>
          </w:p>
        </w:tc>
        <w:tc>
          <w:tcPr>
            <w:tcW w:w="52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9.09.</w:t>
            </w:r>
          </w:p>
        </w:tc>
        <w:tc>
          <w:tcPr>
            <w:tcW w:w="120" w:type="dxa"/>
            <w:vAlign w:val="bottom"/>
          </w:tcPr>
          <w:p>
            <w:pPr>
              <w:spacing w:after="0"/>
              <w:rPr>
                <w:sz w:val="21"/>
                <w:szCs w:val="21"/>
                <w:color w:val="auto"/>
              </w:rPr>
            </w:pPr>
          </w:p>
        </w:tc>
        <w:tc>
          <w:tcPr>
            <w:tcW w:w="4920" w:type="dxa"/>
            <w:vAlign w:val="bottom"/>
            <w:gridSpan w:val="37"/>
          </w:tcPr>
          <w:p>
            <w:pPr>
              <w:spacing w:after="0"/>
              <w:rPr>
                <w:sz w:val="20"/>
                <w:szCs w:val="20"/>
                <w:color w:val="auto"/>
              </w:rPr>
            </w:pPr>
            <w:r>
              <w:rPr>
                <w:rFonts w:ascii="Times New Roman" w:cs="Times New Roman" w:eastAsia="Times New Roman" w:hAnsi="Times New Roman"/>
                <w:sz w:val="20"/>
                <w:szCs w:val="20"/>
                <w:color w:val="auto"/>
              </w:rPr>
              <w:t>Governing Law; Jurisdiction; Consent to Service of Process</w:t>
            </w:r>
          </w:p>
        </w:tc>
        <w:tc>
          <w:tcPr>
            <w:tcW w:w="100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w w:val="93"/>
              </w:rPr>
              <w:t>125</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9.10.</w:t>
            </w:r>
          </w:p>
        </w:tc>
        <w:tc>
          <w:tcPr>
            <w:tcW w:w="120" w:type="dxa"/>
            <w:vAlign w:val="bottom"/>
          </w:tcPr>
          <w:p>
            <w:pPr>
              <w:spacing w:after="0"/>
              <w:rPr>
                <w:sz w:val="20"/>
                <w:szCs w:val="20"/>
                <w:color w:val="auto"/>
              </w:rPr>
            </w:pPr>
          </w:p>
        </w:tc>
        <w:tc>
          <w:tcPr>
            <w:tcW w:w="2360" w:type="dxa"/>
            <w:vAlign w:val="bottom"/>
            <w:tcBorders>
              <w:top w:val="single" w:sz="8" w:color="auto"/>
            </w:tcBorders>
            <w:gridSpan w:val="24"/>
          </w:tcPr>
          <w:p>
            <w:pPr>
              <w:spacing w:after="0"/>
              <w:rPr>
                <w:sz w:val="20"/>
                <w:szCs w:val="20"/>
                <w:color w:val="auto"/>
              </w:rPr>
            </w:pPr>
            <w:r>
              <w:rPr>
                <w:rFonts w:ascii="Times New Roman" w:cs="Times New Roman" w:eastAsia="Times New Roman" w:hAnsi="Times New Roman"/>
                <w:sz w:val="20"/>
                <w:szCs w:val="20"/>
                <w:color w:val="auto"/>
              </w:rPr>
              <w:t>WAIVER OF JURY TRIAL</w:t>
            </w:r>
          </w:p>
        </w:tc>
        <w:tc>
          <w:tcPr>
            <w:tcW w:w="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9.11.</w:t>
            </w:r>
          </w:p>
        </w:tc>
        <w:tc>
          <w:tcPr>
            <w:tcW w:w="90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Headings</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w w:val="93"/>
              </w:rPr>
              <w:t>127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9.12.</w:t>
            </w:r>
          </w:p>
        </w:tc>
        <w:tc>
          <w:tcPr>
            <w:tcW w:w="120" w:type="dxa"/>
            <w:vAlign w:val="bottom"/>
          </w:tcPr>
          <w:p>
            <w:pPr>
              <w:spacing w:after="0"/>
              <w:rPr>
                <w:sz w:val="21"/>
                <w:szCs w:val="21"/>
                <w:color w:val="auto"/>
              </w:rPr>
            </w:pPr>
          </w:p>
        </w:tc>
        <w:tc>
          <w:tcPr>
            <w:tcW w:w="126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Confidentiality</w:t>
            </w:r>
          </w:p>
        </w:tc>
        <w:tc>
          <w:tcPr>
            <w:tcW w:w="520" w:type="dxa"/>
            <w:vAlign w:val="bottom"/>
            <w:gridSpan w:val="6"/>
          </w:tcPr>
          <w:p>
            <w:pPr>
              <w:jc w:val="right"/>
              <w:ind w:right="1"/>
              <w:spacing w:after="0"/>
              <w:rPr>
                <w:sz w:val="20"/>
                <w:szCs w:val="20"/>
                <w:color w:val="auto"/>
              </w:rPr>
            </w:pPr>
            <w:r>
              <w:rPr>
                <w:rFonts w:ascii="Times New Roman" w:cs="Times New Roman" w:eastAsia="Times New Roman" w:hAnsi="Times New Roman"/>
                <w:sz w:val="20"/>
                <w:szCs w:val="20"/>
                <w:color w:val="auto"/>
              </w:rPr>
              <w:t>127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9.13.</w:t>
            </w:r>
          </w:p>
        </w:tc>
        <w:tc>
          <w:tcPr>
            <w:tcW w:w="120" w:type="dxa"/>
            <w:vAlign w:val="bottom"/>
          </w:tcPr>
          <w:p>
            <w:pPr>
              <w:spacing w:after="0"/>
              <w:rPr>
                <w:sz w:val="20"/>
                <w:szCs w:val="20"/>
                <w:color w:val="auto"/>
              </w:rPr>
            </w:pPr>
          </w:p>
        </w:tc>
        <w:tc>
          <w:tcPr>
            <w:tcW w:w="4920" w:type="dxa"/>
            <w:vAlign w:val="bottom"/>
            <w:gridSpan w:val="37"/>
          </w:tcPr>
          <w:p>
            <w:pPr>
              <w:spacing w:after="0"/>
              <w:rPr>
                <w:sz w:val="20"/>
                <w:szCs w:val="20"/>
                <w:color w:val="auto"/>
              </w:rPr>
            </w:pPr>
            <w:r>
              <w:rPr>
                <w:rFonts w:ascii="Times New Roman" w:cs="Times New Roman" w:eastAsia="Times New Roman" w:hAnsi="Times New Roman"/>
                <w:sz w:val="20"/>
                <w:szCs w:val="20"/>
                <w:color w:val="auto"/>
              </w:rPr>
              <w:t>Several Obligations; Nonreliance; Violation of Law  128</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9.14.</w:t>
            </w:r>
          </w:p>
        </w:tc>
        <w:tc>
          <w:tcPr>
            <w:tcW w:w="120" w:type="dxa"/>
            <w:vAlign w:val="bottom"/>
          </w:tcPr>
          <w:p>
            <w:pPr>
              <w:spacing w:after="0"/>
              <w:rPr>
                <w:sz w:val="21"/>
                <w:szCs w:val="21"/>
                <w:color w:val="auto"/>
              </w:rPr>
            </w:pPr>
          </w:p>
        </w:tc>
        <w:tc>
          <w:tcPr>
            <w:tcW w:w="1620" w:type="dxa"/>
            <w:vAlign w:val="bottom"/>
            <w:tcBorders>
              <w:top w:val="single" w:sz="8" w:color="auto"/>
            </w:tcBorders>
            <w:gridSpan w:val="16"/>
          </w:tcPr>
          <w:p>
            <w:pPr>
              <w:spacing w:after="0"/>
              <w:rPr>
                <w:sz w:val="20"/>
                <w:szCs w:val="20"/>
                <w:color w:val="auto"/>
              </w:rPr>
            </w:pPr>
            <w:r>
              <w:rPr>
                <w:rFonts w:ascii="Times New Roman" w:cs="Times New Roman" w:eastAsia="Times New Roman" w:hAnsi="Times New Roman"/>
                <w:sz w:val="20"/>
                <w:szCs w:val="20"/>
                <w:color w:val="auto"/>
                <w:w w:val="97"/>
              </w:rPr>
              <w:t>USA PATRIOT Act</w:t>
            </w:r>
          </w:p>
        </w:tc>
        <w:tc>
          <w:tcPr>
            <w:tcW w:w="560" w:type="dxa"/>
            <w:vAlign w:val="bottom"/>
            <w:tcBorders>
              <w:top w:val="single" w:sz="8" w:color="auto"/>
            </w:tcBorders>
            <w:gridSpan w:val="6"/>
          </w:tcPr>
          <w:p>
            <w:pPr>
              <w:jc w:val="right"/>
              <w:ind w:right="21"/>
              <w:spacing w:after="0"/>
              <w:rPr>
                <w:sz w:val="20"/>
                <w:szCs w:val="20"/>
                <w:color w:val="auto"/>
              </w:rPr>
            </w:pPr>
            <w:r>
              <w:rPr>
                <w:rFonts w:ascii="Times New Roman" w:cs="Times New Roman" w:eastAsia="Times New Roman" w:hAnsi="Times New Roman"/>
                <w:sz w:val="20"/>
                <w:szCs w:val="20"/>
                <w:color w:val="auto"/>
              </w:rPr>
              <w:t>128</w:t>
            </w: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9.15.</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5"/>
              </w:rPr>
              <w:t>Disclosure</w:t>
            </w:r>
          </w:p>
        </w:tc>
        <w:tc>
          <w:tcPr>
            <w:tcW w:w="80" w:type="dxa"/>
            <w:vAlign w:val="bottom"/>
            <w:tcBorders>
              <w:top w:val="single" w:sz="8" w:color="auto"/>
            </w:tcBorders>
            <w:gridSpan w:val="2"/>
          </w:tcPr>
          <w:p>
            <w:pPr>
              <w:spacing w:after="0"/>
              <w:rPr>
                <w:sz w:val="20"/>
                <w:szCs w:val="20"/>
                <w:color w:val="auto"/>
              </w:rPr>
            </w:pPr>
          </w:p>
        </w:tc>
        <w:tc>
          <w:tcPr>
            <w:tcW w:w="500" w:type="dxa"/>
            <w:vAlign w:val="bottom"/>
            <w:tcBorders>
              <w:top w:val="single" w:sz="8" w:color="auto"/>
            </w:tcBorders>
            <w:gridSpan w:val="5"/>
          </w:tcPr>
          <w:p>
            <w:pPr>
              <w:jc w:val="right"/>
              <w:ind w:right="1"/>
              <w:spacing w:after="0"/>
              <w:rPr>
                <w:sz w:val="20"/>
                <w:szCs w:val="20"/>
                <w:color w:val="auto"/>
              </w:rPr>
            </w:pPr>
            <w:r>
              <w:rPr>
                <w:rFonts w:ascii="Times New Roman" w:cs="Times New Roman" w:eastAsia="Times New Roman" w:hAnsi="Times New Roman"/>
                <w:sz w:val="20"/>
                <w:szCs w:val="20"/>
                <w:color w:val="auto"/>
              </w:rPr>
              <w:t>128</w:t>
            </w: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9.16.</w:t>
            </w:r>
          </w:p>
        </w:tc>
        <w:tc>
          <w:tcPr>
            <w:tcW w:w="120" w:type="dxa"/>
            <w:vAlign w:val="bottom"/>
          </w:tcPr>
          <w:p>
            <w:pPr>
              <w:spacing w:after="0"/>
              <w:rPr>
                <w:sz w:val="21"/>
                <w:szCs w:val="21"/>
                <w:color w:val="auto"/>
              </w:rPr>
            </w:pPr>
          </w:p>
        </w:tc>
        <w:tc>
          <w:tcPr>
            <w:tcW w:w="218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20"/>
                <w:szCs w:val="20"/>
                <w:color w:val="auto"/>
                <w:w w:val="97"/>
              </w:rPr>
              <w:t>Appointment for Perfection</w:t>
            </w:r>
          </w:p>
        </w:tc>
        <w:tc>
          <w:tcPr>
            <w:tcW w:w="180" w:type="dxa"/>
            <w:vAlign w:val="bottom"/>
            <w:gridSpan w:val="2"/>
          </w:tcPr>
          <w:p>
            <w:pPr>
              <w:spacing w:after="0"/>
              <w:rPr>
                <w:sz w:val="21"/>
                <w:szCs w:val="21"/>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3"/>
              </w:rPr>
              <w:t>128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9.17.</w:t>
            </w:r>
          </w:p>
        </w:tc>
        <w:tc>
          <w:tcPr>
            <w:tcW w:w="120" w:type="dxa"/>
            <w:vAlign w:val="bottom"/>
          </w:tcPr>
          <w:p>
            <w:pPr>
              <w:spacing w:after="0"/>
              <w:rPr>
                <w:sz w:val="21"/>
                <w:szCs w:val="21"/>
                <w:color w:val="auto"/>
              </w:rPr>
            </w:pPr>
          </w:p>
        </w:tc>
        <w:tc>
          <w:tcPr>
            <w:tcW w:w="188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20"/>
                <w:szCs w:val="20"/>
                <w:color w:val="auto"/>
                <w:w w:val="97"/>
              </w:rPr>
              <w:t>Interest Rate Limitation</w:t>
            </w:r>
          </w:p>
        </w:tc>
        <w:tc>
          <w:tcPr>
            <w:tcW w:w="12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7"/>
        </w:trPr>
        <w:tc>
          <w:tcPr>
            <w:tcW w:w="3880" w:type="dxa"/>
            <w:vAlign w:val="bottom"/>
            <w:gridSpan w:val="26"/>
          </w:tcPr>
          <w:p>
            <w:pPr>
              <w:spacing w:after="0"/>
              <w:rPr>
                <w:sz w:val="20"/>
                <w:szCs w:val="20"/>
                <w:color w:val="auto"/>
              </w:rPr>
            </w:pPr>
            <w:r>
              <w:rPr>
                <w:rFonts w:ascii="Times New Roman" w:cs="Times New Roman" w:eastAsia="Times New Roman" w:hAnsi="Times New Roman"/>
                <w:sz w:val="20"/>
                <w:szCs w:val="20"/>
                <w:color w:val="auto"/>
              </w:rPr>
              <w:t>SECTION 9.18.  No Fiduciary Duty, etc.  129</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14"/>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9.19.</w:t>
            </w:r>
          </w:p>
        </w:tc>
        <w:tc>
          <w:tcPr>
            <w:tcW w:w="120" w:type="dxa"/>
            <w:vAlign w:val="bottom"/>
          </w:tcPr>
          <w:p>
            <w:pPr>
              <w:spacing w:after="0"/>
              <w:rPr>
                <w:sz w:val="21"/>
                <w:szCs w:val="21"/>
                <w:color w:val="auto"/>
              </w:rPr>
            </w:pPr>
          </w:p>
        </w:tc>
        <w:tc>
          <w:tcPr>
            <w:tcW w:w="16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Marketing Consent</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14"/>
            <w:shd w:val="clear" w:color="auto" w:fill="000000"/>
          </w:tcPr>
          <w:p>
            <w:pPr>
              <w:spacing w:after="0" w:line="20" w:lineRule="exact"/>
              <w:rPr>
                <w:sz w:val="1"/>
                <w:szCs w:val="1"/>
                <w:color w:val="auto"/>
              </w:rPr>
            </w:pPr>
          </w:p>
        </w:tc>
        <w:tc>
          <w:tcPr>
            <w:tcW w:w="4420" w:type="dxa"/>
            <w:vAlign w:val="bottom"/>
            <w:gridSpan w:val="2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9.20.</w:t>
            </w:r>
          </w:p>
        </w:tc>
        <w:tc>
          <w:tcPr>
            <w:tcW w:w="120" w:type="dxa"/>
            <w:vAlign w:val="bottom"/>
          </w:tcPr>
          <w:p>
            <w:pPr>
              <w:spacing w:after="0"/>
              <w:rPr>
                <w:sz w:val="20"/>
                <w:szCs w:val="20"/>
                <w:color w:val="auto"/>
              </w:rPr>
            </w:pPr>
          </w:p>
        </w:tc>
        <w:tc>
          <w:tcPr>
            <w:tcW w:w="6720" w:type="dxa"/>
            <w:vAlign w:val="bottom"/>
            <w:gridSpan w:val="40"/>
          </w:tcPr>
          <w:p>
            <w:pPr>
              <w:spacing w:after="0"/>
              <w:rPr>
                <w:sz w:val="20"/>
                <w:szCs w:val="20"/>
                <w:color w:val="auto"/>
              </w:rPr>
            </w:pPr>
            <w:r>
              <w:rPr>
                <w:rFonts w:ascii="Times New Roman" w:cs="Times New Roman" w:eastAsia="Times New Roman" w:hAnsi="Times New Roman"/>
                <w:sz w:val="20"/>
                <w:szCs w:val="20"/>
                <w:color w:val="auto"/>
              </w:rPr>
              <w:t>Acknowledgment and Consent to Bail-In of Affected Financial Institutions  129</w:t>
            </w: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0139"/>
          </w:cols>
          <w:pgMar w:left="320" w:top="1440" w:right="1440" w:bottom="1440" w:gutter="0" w:footer="0" w:header="0"/>
          <w:type w:val="continuous"/>
        </w:sectPr>
      </w:pPr>
    </w:p>
    <w:bookmarkStart w:id="7" w:name="page8"/>
    <w:bookmarkEnd w:id="7"/>
    <w:p>
      <w:pPr>
        <w:spacing w:after="0" w:line="216" w:lineRule="exact"/>
        <w:rPr>
          <w:sz w:val="20"/>
          <w:szCs w:val="20"/>
          <w:color w:val="auto"/>
        </w:rPr>
      </w:pPr>
    </w:p>
    <w:p>
      <w:pPr>
        <w:ind w:right="5060"/>
        <w:spacing w:after="0" w:line="311" w:lineRule="auto"/>
        <w:rPr>
          <w:sz w:val="20"/>
          <w:szCs w:val="20"/>
          <w:color w:val="auto"/>
        </w:rPr>
      </w:pPr>
      <w:r>
        <w:rPr>
          <w:rFonts w:ascii="Times New Roman" w:cs="Times New Roman" w:eastAsia="Times New Roman" w:hAnsi="Times New Roman"/>
          <w:sz w:val="20"/>
          <w:szCs w:val="20"/>
          <w:color w:val="auto"/>
        </w:rPr>
        <w:t xml:space="preserve">SECTION 9.21.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xml:space="preserve">. 130 SECTION 9.22.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130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60" w:type="dxa"/>
            <w:vAlign w:val="bottom"/>
            <w:gridSpan w:val="5"/>
          </w:tcPr>
          <w:p>
            <w:pPr>
              <w:spacing w:after="0"/>
              <w:rPr>
                <w:sz w:val="20"/>
                <w:szCs w:val="20"/>
                <w:color w:val="auto"/>
              </w:rPr>
            </w:pPr>
            <w:r>
              <w:rPr>
                <w:rFonts w:ascii="Times New Roman" w:cs="Times New Roman" w:eastAsia="Times New Roman" w:hAnsi="Times New Roman"/>
                <w:sz w:val="20"/>
                <w:szCs w:val="20"/>
                <w:color w:val="010000"/>
              </w:rPr>
              <w:t xml:space="preserve">ARTICLE X </w:t>
            </w:r>
            <w:r>
              <w:rPr>
                <w:rFonts w:ascii="Times New Roman" w:cs="Times New Roman" w:eastAsia="Times New Roman" w:hAnsi="Times New Roman"/>
                <w:sz w:val="20"/>
                <w:szCs w:val="20"/>
                <w:color w:val="000000"/>
              </w:rPr>
              <w:t>Loan Guaranty</w:t>
            </w:r>
          </w:p>
        </w:tc>
        <w:tc>
          <w:tcPr>
            <w:tcW w:w="62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rPr>
              <w:t>131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23"/>
        </w:trPr>
        <w:tc>
          <w:tcPr>
            <w:tcW w:w="16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SECTION 10.01.</w:t>
            </w:r>
          </w:p>
        </w:tc>
        <w:tc>
          <w:tcPr>
            <w:tcW w:w="20" w:type="dxa"/>
            <w:vAlign w:val="bottom"/>
          </w:tcPr>
          <w:p>
            <w:pPr>
              <w:spacing w:after="0"/>
              <w:rPr>
                <w:sz w:val="19"/>
                <w:szCs w:val="19"/>
                <w:color w:val="auto"/>
              </w:rPr>
            </w:pPr>
          </w:p>
        </w:tc>
        <w:tc>
          <w:tcPr>
            <w:tcW w:w="720" w:type="dxa"/>
            <w:vAlign w:val="bottom"/>
            <w:tcBorders>
              <w:bottom w:val="single" w:sz="8" w:color="auto"/>
            </w:tcBorders>
            <w:gridSpan w:val="2"/>
          </w:tcPr>
          <w:p>
            <w:pPr>
              <w:spacing w:after="0" w:line="224" w:lineRule="exact"/>
              <w:rPr>
                <w:sz w:val="20"/>
                <w:szCs w:val="20"/>
                <w:color w:val="auto"/>
              </w:rPr>
            </w:pPr>
            <w:r>
              <w:rPr>
                <w:rFonts w:ascii="Times New Roman" w:cs="Times New Roman" w:eastAsia="Times New Roman" w:hAnsi="Times New Roman"/>
                <w:sz w:val="20"/>
                <w:szCs w:val="20"/>
                <w:color w:val="auto"/>
                <w:w w:val="93"/>
              </w:rPr>
              <w:t>Guaranty</w:t>
            </w:r>
          </w:p>
        </w:tc>
        <w:tc>
          <w:tcPr>
            <w:tcW w:w="20" w:type="dxa"/>
            <w:vAlign w:val="bottom"/>
          </w:tcPr>
          <w:p>
            <w:pPr>
              <w:spacing w:after="0"/>
              <w:rPr>
                <w:sz w:val="19"/>
                <w:szCs w:val="19"/>
                <w:color w:val="auto"/>
              </w:rPr>
            </w:pPr>
          </w:p>
        </w:tc>
        <w:tc>
          <w:tcPr>
            <w:tcW w:w="620" w:type="dxa"/>
            <w:vAlign w:val="bottom"/>
            <w:gridSpan w:val="3"/>
          </w:tcPr>
          <w:p>
            <w:pPr>
              <w:jc w:val="right"/>
              <w:ind w:right="41"/>
              <w:spacing w:after="0" w:line="224" w:lineRule="exact"/>
              <w:rPr>
                <w:sz w:val="20"/>
                <w:szCs w:val="20"/>
                <w:color w:val="auto"/>
              </w:rPr>
            </w:pPr>
            <w:r>
              <w:rPr>
                <w:rFonts w:ascii="Times New Roman" w:cs="Times New Roman" w:eastAsia="Times New Roman" w:hAnsi="Times New Roman"/>
                <w:sz w:val="20"/>
                <w:szCs w:val="20"/>
                <w:color w:val="auto"/>
              </w:rPr>
              <w:t>131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7"/>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10.02.</w:t>
            </w:r>
          </w:p>
        </w:tc>
        <w:tc>
          <w:tcPr>
            <w:tcW w:w="20" w:type="dxa"/>
            <w:vAlign w:val="bottom"/>
          </w:tcPr>
          <w:p>
            <w:pPr>
              <w:spacing w:after="0"/>
              <w:rPr>
                <w:sz w:val="20"/>
                <w:szCs w:val="20"/>
                <w:color w:val="auto"/>
              </w:rPr>
            </w:pPr>
          </w:p>
        </w:tc>
        <w:tc>
          <w:tcPr>
            <w:tcW w:w="16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w w:val="97"/>
              </w:rPr>
              <w:t>Guaranty of Payment</w:t>
            </w: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10.03.</w:t>
            </w:r>
          </w:p>
        </w:tc>
        <w:tc>
          <w:tcPr>
            <w:tcW w:w="20" w:type="dxa"/>
            <w:vAlign w:val="bottom"/>
          </w:tcPr>
          <w:p>
            <w:pPr>
              <w:spacing w:after="0"/>
              <w:rPr>
                <w:sz w:val="21"/>
                <w:szCs w:val="21"/>
                <w:color w:val="auto"/>
              </w:rPr>
            </w:pPr>
          </w:p>
        </w:tc>
        <w:tc>
          <w:tcPr>
            <w:tcW w:w="442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No Discharge or Diminishment of Loan Guaranty  131</w:t>
            </w:r>
          </w:p>
        </w:tc>
      </w:tr>
      <w:tr>
        <w:trPr>
          <w:trHeight w:val="250"/>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10.04.</w:t>
            </w:r>
          </w:p>
        </w:tc>
        <w:tc>
          <w:tcPr>
            <w:tcW w:w="20" w:type="dxa"/>
            <w:vAlign w:val="bottom"/>
          </w:tcPr>
          <w:p>
            <w:pPr>
              <w:spacing w:after="0"/>
              <w:rPr>
                <w:sz w:val="21"/>
                <w:szCs w:val="21"/>
                <w:color w:val="auto"/>
              </w:rPr>
            </w:pPr>
          </w:p>
        </w:tc>
        <w:tc>
          <w:tcPr>
            <w:tcW w:w="232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20"/>
                <w:szCs w:val="20"/>
                <w:color w:val="auto"/>
              </w:rPr>
              <w:t>Defenses Waived  132</w:t>
            </w:r>
          </w:p>
        </w:tc>
        <w:tc>
          <w:tcPr>
            <w:tcW w:w="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10.05.</w:t>
            </w:r>
          </w:p>
        </w:tc>
        <w:tc>
          <w:tcPr>
            <w:tcW w:w="20" w:type="dxa"/>
            <w:vAlign w:val="bottom"/>
          </w:tcPr>
          <w:p>
            <w:pPr>
              <w:spacing w:after="0"/>
              <w:rPr>
                <w:sz w:val="20"/>
                <w:szCs w:val="20"/>
                <w:color w:val="auto"/>
              </w:rPr>
            </w:pPr>
          </w:p>
        </w:tc>
        <w:tc>
          <w:tcPr>
            <w:tcW w:w="17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auto"/>
                <w:w w:val="97"/>
              </w:rPr>
              <w:t>Rights of Subrogation</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133</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10.06.</w:t>
            </w:r>
          </w:p>
        </w:tc>
        <w:tc>
          <w:tcPr>
            <w:tcW w:w="20" w:type="dxa"/>
            <w:vAlign w:val="bottom"/>
          </w:tcPr>
          <w:p>
            <w:pPr>
              <w:spacing w:after="0"/>
              <w:rPr>
                <w:sz w:val="21"/>
                <w:szCs w:val="21"/>
                <w:color w:val="auto"/>
              </w:rPr>
            </w:pPr>
          </w:p>
        </w:tc>
        <w:tc>
          <w:tcPr>
            <w:tcW w:w="442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Reinstatement; Stay of Acceleration  133</w:t>
            </w:r>
          </w:p>
        </w:tc>
      </w:tr>
      <w:tr>
        <w:trPr>
          <w:trHeight w:val="237"/>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10.07.</w:t>
            </w:r>
          </w:p>
        </w:tc>
        <w:tc>
          <w:tcPr>
            <w:tcW w:w="20" w:type="dxa"/>
            <w:vAlign w:val="bottom"/>
          </w:tcPr>
          <w:p>
            <w:pPr>
              <w:spacing w:after="0"/>
              <w:rPr>
                <w:sz w:val="20"/>
                <w:szCs w:val="20"/>
                <w:color w:val="auto"/>
              </w:rPr>
            </w:pPr>
          </w:p>
        </w:tc>
        <w:tc>
          <w:tcPr>
            <w:tcW w:w="9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Information</w:t>
            </w:r>
          </w:p>
        </w:tc>
        <w:tc>
          <w:tcPr>
            <w:tcW w:w="56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133</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10.08.</w:t>
            </w:r>
          </w:p>
        </w:tc>
        <w:tc>
          <w:tcPr>
            <w:tcW w:w="20" w:type="dxa"/>
            <w:vAlign w:val="bottom"/>
          </w:tcPr>
          <w:p>
            <w:pPr>
              <w:spacing w:after="0"/>
              <w:rPr>
                <w:sz w:val="21"/>
                <w:szCs w:val="21"/>
                <w:color w:val="auto"/>
              </w:rPr>
            </w:pPr>
          </w:p>
        </w:tc>
        <w:tc>
          <w:tcPr>
            <w:tcW w:w="232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Release of Loan Guarantors</w:t>
            </w: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133</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0"/>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10.09.</w:t>
            </w:r>
          </w:p>
        </w:tc>
        <w:tc>
          <w:tcPr>
            <w:tcW w:w="20" w:type="dxa"/>
            <w:vAlign w:val="bottom"/>
          </w:tcPr>
          <w:p>
            <w:pPr>
              <w:spacing w:after="0"/>
              <w:rPr>
                <w:sz w:val="21"/>
                <w:szCs w:val="21"/>
                <w:color w:val="auto"/>
              </w:rPr>
            </w:pPr>
          </w:p>
        </w:tc>
        <w:tc>
          <w:tcPr>
            <w:tcW w:w="9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Taxes  133</w:t>
            </w:r>
          </w:p>
        </w:tc>
        <w:tc>
          <w:tcPr>
            <w:tcW w:w="3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10.10.</w:t>
            </w:r>
          </w:p>
        </w:tc>
        <w:tc>
          <w:tcPr>
            <w:tcW w:w="20" w:type="dxa"/>
            <w:vAlign w:val="bottom"/>
          </w:tcPr>
          <w:p>
            <w:pPr>
              <w:spacing w:after="0"/>
              <w:rPr>
                <w:sz w:val="20"/>
                <w:szCs w:val="20"/>
                <w:color w:val="auto"/>
              </w:rPr>
            </w:pPr>
          </w:p>
        </w:tc>
        <w:tc>
          <w:tcPr>
            <w:tcW w:w="15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20"/>
                <w:szCs w:val="20"/>
                <w:color w:val="auto"/>
                <w:w w:val="96"/>
              </w:rPr>
              <w:t>Maximum Liability</w:t>
            </w:r>
          </w:p>
        </w:tc>
        <w:tc>
          <w:tcPr>
            <w:tcW w:w="200" w:type="dxa"/>
            <w:vAlign w:val="bottom"/>
            <w:gridSpan w:val="3"/>
          </w:tcPr>
          <w:p>
            <w:pPr>
              <w:spacing w:after="0"/>
              <w:rPr>
                <w:sz w:val="20"/>
                <w:szCs w:val="20"/>
                <w:color w:val="auto"/>
              </w:rPr>
            </w:pP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3"/>
              </w:rPr>
              <w:t>134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10.11.</w:t>
            </w:r>
          </w:p>
        </w:tc>
        <w:tc>
          <w:tcPr>
            <w:tcW w:w="10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w w:val="95"/>
              </w:rPr>
              <w:t>Contribution</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7"/>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10.12.</w:t>
            </w:r>
          </w:p>
        </w:tc>
        <w:tc>
          <w:tcPr>
            <w:tcW w:w="20" w:type="dxa"/>
            <w:vAlign w:val="bottom"/>
          </w:tcPr>
          <w:p>
            <w:pPr>
              <w:spacing w:after="0"/>
              <w:rPr>
                <w:sz w:val="20"/>
                <w:szCs w:val="20"/>
                <w:color w:val="auto"/>
              </w:rPr>
            </w:pPr>
          </w:p>
        </w:tc>
        <w:tc>
          <w:tcPr>
            <w:tcW w:w="174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Liability Cumulative</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SECTION 10.13.</w:t>
            </w:r>
          </w:p>
        </w:tc>
        <w:tc>
          <w:tcPr>
            <w:tcW w:w="20" w:type="dxa"/>
            <w:vAlign w:val="bottom"/>
          </w:tcPr>
          <w:p>
            <w:pPr>
              <w:spacing w:after="0"/>
              <w:rPr>
                <w:sz w:val="21"/>
                <w:szCs w:val="21"/>
                <w:color w:val="auto"/>
              </w:rPr>
            </w:pPr>
          </w:p>
        </w:tc>
        <w:tc>
          <w:tcPr>
            <w:tcW w:w="74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3"/>
              </w:rPr>
              <w:t>Keepwell</w:t>
            </w:r>
          </w:p>
        </w:tc>
        <w:tc>
          <w:tcPr>
            <w:tcW w:w="620" w:type="dxa"/>
            <w:vAlign w:val="bottom"/>
            <w:tcBorders>
              <w:top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135</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486"/>
        </w:trPr>
        <w:tc>
          <w:tcPr>
            <w:tcW w:w="3940" w:type="dxa"/>
            <w:vAlign w:val="bottom"/>
            <w:gridSpan w:val="14"/>
          </w:tcPr>
          <w:p>
            <w:pPr>
              <w:spacing w:after="0"/>
              <w:rPr>
                <w:sz w:val="20"/>
                <w:szCs w:val="20"/>
                <w:color w:val="auto"/>
              </w:rPr>
            </w:pPr>
            <w:r>
              <w:rPr>
                <w:rFonts w:ascii="Times New Roman" w:cs="Times New Roman" w:eastAsia="Times New Roman" w:hAnsi="Times New Roman"/>
                <w:sz w:val="20"/>
                <w:szCs w:val="20"/>
                <w:color w:val="010000"/>
              </w:rPr>
              <w:t xml:space="preserve">ARTICLE XI </w:t>
            </w:r>
            <w:r>
              <w:rPr>
                <w:rFonts w:ascii="Times New Roman" w:cs="Times New Roman" w:eastAsia="Times New Roman" w:hAnsi="Times New Roman"/>
                <w:sz w:val="20"/>
                <w:szCs w:val="20"/>
                <w:color w:val="000000"/>
              </w:rPr>
              <w:t>Collection Allocation Mechanism</w:t>
            </w: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135</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Commitment Schedule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3.05 – Properties, etc.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3.14 – Insurance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3.15 – Capitalization and Subsidiaries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5.14 – Post-Closing Requirements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6.01 – Existing Indebtedness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6.02 – Existing Liens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6.04 – Existing Investments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6.10 – Existing Restrictions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tcPr>
          <w:p>
            <w:pPr>
              <w:spacing w:after="0"/>
              <w:rPr>
                <w:sz w:val="19"/>
                <w:szCs w:val="19"/>
                <w:color w:val="auto"/>
              </w:rPr>
            </w:pPr>
          </w:p>
        </w:tc>
      </w:tr>
      <w:tr>
        <w:trPr>
          <w:trHeight w:val="457"/>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Exhibit A</w:t>
            </w:r>
          </w:p>
        </w:tc>
        <w:tc>
          <w:tcPr>
            <w:tcW w:w="10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992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Assignment and Assumption</w:t>
            </w:r>
          </w:p>
        </w:tc>
      </w:tr>
      <w:tr>
        <w:trPr>
          <w:trHeight w:val="266"/>
        </w:trPr>
        <w:tc>
          <w:tcPr>
            <w:tcW w:w="1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B</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940" w:type="dxa"/>
            <w:vAlign w:val="bottom"/>
            <w:gridSpan w:val="6"/>
          </w:tcPr>
          <w:p>
            <w:pPr>
              <w:ind w:left="20"/>
              <w:spacing w:after="0" w:line="266" w:lineRule="exact"/>
              <w:rPr>
                <w:sz w:val="20"/>
                <w:szCs w:val="20"/>
                <w:color w:val="auto"/>
              </w:rPr>
            </w:pPr>
            <w:r>
              <w:rPr>
                <w:rFonts w:ascii="Times New Roman" w:cs="Times New Roman" w:eastAsia="Times New Roman" w:hAnsi="Times New Roman"/>
                <w:sz w:val="25"/>
                <w:szCs w:val="25"/>
                <w:color w:val="auto"/>
              </w:rPr>
              <w:t>[</w:t>
            </w:r>
            <w:r>
              <w:rPr>
                <w:rFonts w:ascii="Times New Roman" w:cs="Times New Roman" w:eastAsia="Times New Roman" w:hAnsi="Times New Roman"/>
                <w:sz w:val="19"/>
                <w:szCs w:val="19"/>
                <w:color w:val="auto"/>
              </w:rPr>
              <w:t>Reserved</w:t>
            </w:r>
            <w:r>
              <w:rPr>
                <w:rFonts w:ascii="Times New Roman" w:cs="Times New Roman" w:eastAsia="Times New Roman" w:hAnsi="Times New Roman"/>
                <w:sz w:val="25"/>
                <w:szCs w:val="25"/>
                <w:color w:val="auto"/>
              </w:rPr>
              <w:t>]</w:t>
            </w:r>
          </w:p>
        </w:tc>
      </w:tr>
      <w:tr>
        <w:trPr>
          <w:trHeight w:val="20"/>
        </w:trPr>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54"/>
        </w:trPr>
        <w:tc>
          <w:tcPr>
            <w:tcW w:w="1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C-1</w:t>
            </w:r>
          </w:p>
        </w:tc>
        <w:tc>
          <w:tcPr>
            <w:tcW w:w="30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7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Borrowing Request</w:t>
            </w:r>
          </w:p>
        </w:tc>
      </w:tr>
      <w:tr>
        <w:trPr>
          <w:trHeight w:val="243"/>
        </w:trPr>
        <w:tc>
          <w:tcPr>
            <w:tcW w:w="1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C-2</w:t>
            </w:r>
          </w:p>
        </w:tc>
        <w:tc>
          <w:tcPr>
            <w:tcW w:w="30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7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Interest Election Request</w:t>
            </w:r>
          </w:p>
        </w:tc>
      </w:tr>
      <w:tr>
        <w:trPr>
          <w:trHeight w:val="230"/>
        </w:trPr>
        <w:tc>
          <w:tcPr>
            <w:tcW w:w="1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D-1</w:t>
            </w:r>
          </w:p>
        </w:tc>
        <w:tc>
          <w:tcPr>
            <w:tcW w:w="10240" w:type="dxa"/>
            <w:vAlign w:val="bottom"/>
            <w:gridSpan w:val="7"/>
          </w:tcPr>
          <w:p>
            <w:pPr>
              <w:ind w:left="200"/>
              <w:spacing w:after="0"/>
              <w:rPr>
                <w:sz w:val="20"/>
                <w:szCs w:val="20"/>
                <w:color w:val="auto"/>
              </w:rPr>
            </w:pPr>
            <w:r>
              <w:rPr>
                <w:rFonts w:ascii="Times New Roman" w:cs="Times New Roman" w:eastAsia="Times New Roman" w:hAnsi="Times New Roman"/>
                <w:sz w:val="20"/>
                <w:szCs w:val="20"/>
                <w:color w:val="auto"/>
                <w:w w:val="99"/>
              </w:rPr>
              <w:t>–   U.S. Tax Compliance Certificate (For Foreign Lenders That Are Not Partnerships For U.S. Federal Income Tax Purposes)</w:t>
            </w:r>
          </w:p>
        </w:tc>
      </w:tr>
      <w:tr>
        <w:trPr>
          <w:trHeight w:val="243"/>
        </w:trPr>
        <w:tc>
          <w:tcPr>
            <w:tcW w:w="1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D-2</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97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U.S. Tax Compliance Certificate (For Foreign Participants That Are Not Partnerships For U.S. Federal Income Tax</w:t>
            </w:r>
          </w:p>
        </w:tc>
      </w:tr>
      <w:tr>
        <w:trPr>
          <w:trHeight w:val="243"/>
        </w:trPr>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Purposes)</w:t>
            </w:r>
          </w:p>
        </w:tc>
      </w:tr>
      <w:tr>
        <w:trPr>
          <w:trHeight w:val="230"/>
        </w:trPr>
        <w:tc>
          <w:tcPr>
            <w:tcW w:w="1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D-3</w:t>
            </w:r>
          </w:p>
        </w:tc>
        <w:tc>
          <w:tcPr>
            <w:tcW w:w="10240" w:type="dxa"/>
            <w:vAlign w:val="bottom"/>
            <w:gridSpan w:val="7"/>
          </w:tcPr>
          <w:p>
            <w:pPr>
              <w:ind w:left="240"/>
              <w:spacing w:after="0"/>
              <w:rPr>
                <w:sz w:val="20"/>
                <w:szCs w:val="20"/>
                <w:color w:val="auto"/>
              </w:rPr>
            </w:pPr>
            <w:r>
              <w:rPr>
                <w:rFonts w:ascii="Times New Roman" w:cs="Times New Roman" w:eastAsia="Times New Roman" w:hAnsi="Times New Roman"/>
                <w:sz w:val="20"/>
                <w:szCs w:val="20"/>
                <w:color w:val="auto"/>
              </w:rPr>
              <w:t>–   U.S. Tax Compliance Certificate (For Foreign Participants That Are Partnerships For U.S. Federal Income Tax Purposes)</w:t>
            </w:r>
          </w:p>
        </w:tc>
      </w:tr>
      <w:tr>
        <w:trPr>
          <w:trHeight w:val="258"/>
        </w:trPr>
        <w:tc>
          <w:tcPr>
            <w:tcW w:w="1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D-4</w:t>
            </w:r>
          </w:p>
        </w:tc>
        <w:tc>
          <w:tcPr>
            <w:tcW w:w="10240" w:type="dxa"/>
            <w:vAlign w:val="bottom"/>
            <w:gridSpan w:val="7"/>
          </w:tcPr>
          <w:p>
            <w:pPr>
              <w:ind w:left="200"/>
              <w:spacing w:after="0"/>
              <w:rPr>
                <w:sz w:val="20"/>
                <w:szCs w:val="20"/>
                <w:color w:val="auto"/>
              </w:rPr>
            </w:pPr>
            <w:r>
              <w:rPr>
                <w:rFonts w:ascii="Times New Roman" w:cs="Times New Roman" w:eastAsia="Times New Roman" w:hAnsi="Times New Roman"/>
                <w:sz w:val="20"/>
                <w:szCs w:val="20"/>
                <w:color w:val="auto"/>
              </w:rPr>
              <w:t>–   U.S. Tax Compliance Certificate (For Foreign Lenders That Are Partnerships For U.S. Federal Income Tax Purposes)</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189"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9"/>
          <w:szCs w:val="19"/>
          <w:color w:val="auto"/>
        </w:rPr>
        <w:t>Exhibit E Exhibit F</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Compliance Certificate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Joinder Agreement</w:t>
      </w:r>
    </w:p>
    <w:p>
      <w:pPr>
        <w:spacing w:after="0" w:line="276" w:lineRule="exact"/>
        <w:rPr>
          <w:sz w:val="20"/>
          <w:szCs w:val="20"/>
          <w:color w:val="auto"/>
        </w:rPr>
      </w:pPr>
    </w:p>
    <w:p>
      <w:pPr>
        <w:sectPr>
          <w:pgSz w:w="11900" w:h="16838" w:orient="portrait"/>
          <w:cols w:equalWidth="0" w:num="3">
            <w:col w:w="760" w:space="240"/>
            <w:col w:w="100" w:space="240"/>
            <w:col w:w="87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0139"/>
          </w:cols>
          <w:pgMar w:left="320" w:top="1440" w:right="1440" w:bottom="1440" w:gutter="0" w:footer="0" w:header="0"/>
          <w:type w:val="continuous"/>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CREDIT AGREEMENT (as it may be amended, restated, supplemented or modified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October 22, 2026, among CRICUT, INC., a Delaware corporation, as Borrower, the other Loan Parties party hereto, the Lenders party hereto, and BMO BANK N.A., as Administrative Agent.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parties hereto agree as follows:</w:t>
      </w:r>
    </w:p>
    <w:p>
      <w:pPr>
        <w:spacing w:after="0" w:line="33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color w:val="010000"/>
        </w:rPr>
        <w:t>1.</w:t>
      </w:r>
    </w:p>
    <w:p>
      <w:pPr>
        <w:spacing w:after="0" w:line="22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whether such Loan, or the Loans comprising such Borrowing, is bearing interest at a rate determined by reference to the Alternate Base Rate. All ABR Loans shall be denominated in Dollars.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has the meaning assigned to such term in the Security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 Debtor</w:t>
      </w:r>
      <w:r>
        <w:rPr>
          <w:rFonts w:ascii="Times New Roman" w:cs="Times New Roman" w:eastAsia="Times New Roman" w:hAnsi="Times New Roman"/>
          <w:sz w:val="20"/>
          <w:szCs w:val="20"/>
          <w:color w:val="auto"/>
        </w:rPr>
        <w:t>” means any Person obligated on an Account.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any transaction, or any series of related transactions, consummated on or after the Effective Date, by which any Loan Party or Subsidiary (a) 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Daily Simple SOFR</w:t>
      </w:r>
      <w:r>
        <w:rPr>
          <w:rFonts w:ascii="Times New Roman" w:cs="Times New Roman" w:eastAsia="Times New Roman" w:hAnsi="Times New Roman"/>
          <w:sz w:val="20"/>
          <w:szCs w:val="20"/>
          <w:color w:val="auto"/>
        </w:rPr>
        <w:t>” has the meaning assigned to such term in the definition of Adjusted Daily Simple RFR.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Daily Simple SONIA Rate</w:t>
      </w:r>
      <w:r>
        <w:rPr>
          <w:rFonts w:ascii="Times New Roman" w:cs="Times New Roman" w:eastAsia="Times New Roman" w:hAnsi="Times New Roman"/>
          <w:sz w:val="20"/>
          <w:szCs w:val="20"/>
          <w:color w:val="auto"/>
        </w:rPr>
        <w:t>” has the meaning assigned to such term in the definition of Adjusted Daily Simple RFR.</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Daily Simple RFR</w:t>
      </w:r>
      <w:r>
        <w:rPr>
          <w:rFonts w:ascii="Times New Roman" w:cs="Times New Roman" w:eastAsia="Times New Roman" w:hAnsi="Times New Roman"/>
          <w:sz w:val="20"/>
          <w:szCs w:val="20"/>
          <w:color w:val="auto"/>
        </w:rPr>
        <w:t xml:space="preserve">” means, (a) with respect to any RFR Borrowing denominated in Sterling, an interest rate per annum equal to (i) the Daily Simple RFR for Pounds Sterling,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0.0326% (the “</w:t>
      </w:r>
      <w:r>
        <w:rPr>
          <w:rFonts w:ascii="Times New Roman" w:cs="Times New Roman" w:eastAsia="Times New Roman" w:hAnsi="Times New Roman"/>
          <w:sz w:val="20"/>
          <w:szCs w:val="20"/>
          <w:u w:val="single" w:color="auto"/>
          <w:color w:val="auto"/>
        </w:rPr>
        <w:t>Adjusted Daily Simple SONIA Rate</w:t>
      </w:r>
      <w:r>
        <w:rPr>
          <w:rFonts w:ascii="Times New Roman" w:cs="Times New Roman" w:eastAsia="Times New Roman" w:hAnsi="Times New Roman"/>
          <w:sz w:val="20"/>
          <w:szCs w:val="20"/>
          <w:color w:val="auto"/>
        </w:rPr>
        <w:t>”), and (b) with respect to any RFR Borrowing denominated in Dollars, an interest rate per annum equal to the Daily Simple RFR for Dollars (“</w:t>
      </w:r>
      <w:r>
        <w:rPr>
          <w:rFonts w:ascii="Times New Roman" w:cs="Times New Roman" w:eastAsia="Times New Roman" w:hAnsi="Times New Roman"/>
          <w:sz w:val="20"/>
          <w:szCs w:val="20"/>
          <w:u w:val="single" w:color="auto"/>
          <w:color w:val="auto"/>
        </w:rPr>
        <w:t>Adjusted Daily Simple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Daily Simple RFR as so determined would be less than the Floor, such rate shall be deemed to be equal to the Floor for the purposes of this Agreement.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AUD Rate</w:t>
      </w:r>
      <w:r>
        <w:rPr>
          <w:rFonts w:ascii="Times New Roman" w:cs="Times New Roman" w:eastAsia="Times New Roman" w:hAnsi="Times New Roman"/>
          <w:sz w:val="20"/>
          <w:szCs w:val="20"/>
          <w:color w:val="auto"/>
        </w:rPr>
        <w:t>” means, with respect to any Term Benchmark Borrowing denominated in Australian Dollars for any Interest Period, an interest rate per annum equal to (a) the AUD Rate for such Interest Period multiplied by (b) the Statutory Reserve Rate; provided that, if the Adjusted AUD Rate as so determined would be less than the Floor, such rate shall be deemed to be equal to the Floor for the purposes of this Agreement.</w:t>
      </w:r>
    </w:p>
    <w:p>
      <w:pPr>
        <w:sectPr>
          <w:pgSz w:w="11900" w:h="16838" w:orient="portrait"/>
          <w:cols w:equalWidth="0" w:num="1">
            <w:col w:w="11240"/>
          </w:cols>
          <w:pgMar w:left="320" w:top="1413" w:right="339" w:bottom="1440" w:gutter="0" w:footer="0" w:header="0"/>
        </w:sectPr>
      </w:pPr>
    </w:p>
    <w:bookmarkStart w:id="10" w:name="page11"/>
    <w:bookmarkEnd w:id="10"/>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NZD Rate</w:t>
      </w:r>
      <w:r>
        <w:rPr>
          <w:rFonts w:ascii="Times New Roman" w:cs="Times New Roman" w:eastAsia="Times New Roman" w:hAnsi="Times New Roman"/>
          <w:sz w:val="20"/>
          <w:szCs w:val="20"/>
          <w:color w:val="auto"/>
        </w:rPr>
        <w:t>” means, with respect to any Term Benchmark Borrowing denominated in New Zealand Dollars for any Interest Period, an interest rate per annum equal to (a) the NZD Rate for such Interest Period multiplied by (b) the Statutory Reserve Rate; provided that, if the Adjusted NZD Rate as so determined would be less than the Floor, such rate shall be deemed to be equal to the Floor for the purposes of this Agreement.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 Rate</w:t>
      </w:r>
      <w:r>
        <w:rPr>
          <w:rFonts w:ascii="Times New Roman" w:cs="Times New Roman" w:eastAsia="Times New Roman" w:hAnsi="Times New Roman"/>
          <w:sz w:val="20"/>
          <w:szCs w:val="20"/>
          <w:color w:val="auto"/>
        </w:rPr>
        <w:t xml:space="preserve">” means, with respect to any Term Benchmark Borrowing denominated in Dollars for any Interest Period, an interest rate per annum equal to the Term SOFR Rate for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SOFR Rate as so determined would be less than the Floor, such rate shall be deemed to be equal to the Floor for the purposes of this Agreement.</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BMO Bank N.A. (or any of its designated branch offices or affiliates), in its capacity as administrative agent for the Lenders hereunder.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specified Person.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has the meaning assigned to it in Section 9.03(d).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Exposure</w:t>
      </w:r>
      <w:r>
        <w:rPr>
          <w:rFonts w:ascii="Times New Roman" w:cs="Times New Roman" w:eastAsia="Times New Roman" w:hAnsi="Times New Roman"/>
          <w:sz w:val="20"/>
          <w:szCs w:val="20"/>
          <w:color w:val="auto"/>
        </w:rPr>
        <w:t>” means, at any time, the aggregate Revolving Exposure of all the Lenders at such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Currencies</w:t>
      </w:r>
      <w:r>
        <w:rPr>
          <w:rFonts w:ascii="Times New Roman" w:cs="Times New Roman" w:eastAsia="Times New Roman" w:hAnsi="Times New Roman"/>
          <w:sz w:val="20"/>
          <w:szCs w:val="20"/>
          <w:color w:val="auto"/>
        </w:rPr>
        <w:t>” means (a) Dollars and (b) each Foreign Currency.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ALTA</w:t>
      </w:r>
      <w:r>
        <w:rPr>
          <w:rFonts w:ascii="Times New Roman" w:cs="Times New Roman" w:eastAsia="Times New Roman" w:hAnsi="Times New Roman"/>
          <w:sz w:val="20"/>
          <w:szCs w:val="20"/>
          <w:color w:val="auto"/>
        </w:rPr>
        <w:t>” means the American Land Title Association.</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xml:space="preserve">” means, for any day, a rate per annum equal to the greatest of (a) the Prime Rate in effect on such day, (b) the NYFRB Rate in effect on such day plus ½ of 1%, and (c) the Adjusted Term SOFR Rate for a one-month Interest Period as published two U.S. Government Securities Business Days prior to such day (or if such day is not a U.S. Government Securities Business Day, the immediately preceding U.S. Government Securities Business Day) plus 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per annum, such rate shall be deemed to be 1.00% per annum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has the meaning assigned to it in Section 9.06(b).</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Borrower or any of its Affiliates from time to time concerning or relating to bribery or corruption, including, without limitation, the UK Bribery Act and the Foreign Corrupt Practices Act of 1977, as amended, and the rules and regulations thereunder.</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has the meaning assigned to it in Section 8.03(c).</w:t>
      </w:r>
    </w:p>
    <w:p>
      <w:pPr>
        <w:spacing w:after="0" w:line="229" w:lineRule="exact"/>
        <w:rPr>
          <w:sz w:val="20"/>
          <w:szCs w:val="20"/>
          <w:color w:val="auto"/>
        </w:rPr>
      </w:pPr>
    </w:p>
    <w:p>
      <w:pPr>
        <w:jc w:val="both"/>
        <w:ind w:right="20"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at any time with respect to any Lender, a percentage equal to a fraction the numerator of which is such Lender’s Revolving Commitment at such time and the denominator of which is the aggregate Revolving Commitments at such time (provided that, if the Revolving Commitments have terminated or expired, the Applicable Percentages shall be determined based upon such Lender’s share of the Aggregate Revolving Exposure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accordance with Section 2.20, so long as any Lender shall be a Defaulting Lender, such Defaulting Lender’s Revolving Commitment shall be disregarded in the calculations above. Notwithstanding the foregoing, any reference to “Applicable Percentage” relating to Revolving Loans and LC Exposure denominated in any Foreign Currency or any costs, expenses, fees or other amounts related to any of the foregoing, shall be calculated excluding the Revolving Commitments and Revolving Exposure of the Non-Global Lenders.</w:t>
      </w:r>
    </w:p>
    <w:p>
      <w:pPr>
        <w:spacing w:after="0" w:line="195"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for any day, with respect to any ABR Loan, Canadian Prime Loan, Term Benchmark Loan or RFR Loan, or with respect to the commitment fees payable hereunder, as the case may be, the applicable rate per annum set forth below under the caption “ABR and Canadian Prime Spread”, “Term Benchmark and RFR Spread” or “Commitment Fee Rate”, as the case may be, based upon the Borrower’s Net Leverage Ratio as of the most recent determination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delivery to the Administrative Agent of the Financial Statements pursuant to Section 5.01(a) or (b) for the first full fiscal quarter ending after the Effective Date, the “Applicable Rate” shall be the applicable rates per annum set forth below in Category 1:</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800" w:type="dxa"/>
            <w:vAlign w:val="bottom"/>
            <w:tcBorders>
              <w:top w:val="single" w:sz="8" w:color="auto"/>
              <w:left w:val="single" w:sz="8" w:color="auto"/>
              <w:right w:val="single" w:sz="8" w:color="auto"/>
            </w:tcBorders>
            <w:gridSpan w:val="4"/>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Net Leverage Ratio</w:t>
            </w:r>
          </w:p>
        </w:tc>
        <w:tc>
          <w:tcPr>
            <w:tcW w:w="282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0"/>
                <w:szCs w:val="20"/>
                <w:color w:val="auto"/>
              </w:rPr>
              <w:t>ABR and Canadian Prime Spread</w:t>
            </w:r>
          </w:p>
        </w:tc>
        <w:tc>
          <w:tcPr>
            <w:tcW w:w="28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Term Benchmark</w:t>
            </w:r>
          </w:p>
        </w:tc>
        <w:tc>
          <w:tcPr>
            <w:tcW w:w="2820" w:type="dxa"/>
            <w:vAlign w:val="bottom"/>
            <w:tcBorders>
              <w:top w:val="single" w:sz="8" w:color="auto"/>
              <w:right w:val="single" w:sz="8" w:color="auto"/>
            </w:tcBorders>
            <w:shd w:val="clear" w:color="auto" w:fill="D9D9D9"/>
          </w:tcPr>
          <w:p>
            <w:pPr>
              <w:ind w:left="500"/>
              <w:spacing w:after="0"/>
              <w:rPr>
                <w:sz w:val="20"/>
                <w:szCs w:val="20"/>
                <w:color w:val="auto"/>
              </w:rPr>
            </w:pPr>
            <w:r>
              <w:rPr>
                <w:rFonts w:ascii="Times New Roman" w:cs="Times New Roman" w:eastAsia="Times New Roman" w:hAnsi="Times New Roman"/>
                <w:sz w:val="20"/>
                <w:szCs w:val="20"/>
                <w:color w:val="auto"/>
              </w:rPr>
              <w:t>Commitment Fee Rate</w:t>
            </w:r>
          </w:p>
        </w:tc>
      </w:tr>
      <w:tr>
        <w:trPr>
          <w:trHeight w:val="258"/>
        </w:trPr>
        <w:tc>
          <w:tcPr>
            <w:tcW w:w="960" w:type="dxa"/>
            <w:vAlign w:val="bottom"/>
            <w:tcBorders>
              <w:left w:val="single" w:sz="8" w:color="auto"/>
            </w:tcBorders>
            <w:shd w:val="clear" w:color="auto" w:fill="D9D9D9"/>
          </w:tcPr>
          <w:p>
            <w:pPr>
              <w:spacing w:after="0"/>
              <w:rPr>
                <w:sz w:val="22"/>
                <w:szCs w:val="22"/>
                <w:color w:val="auto"/>
              </w:rPr>
            </w:pPr>
          </w:p>
        </w:tc>
        <w:tc>
          <w:tcPr>
            <w:tcW w:w="880" w:type="dxa"/>
            <w:vAlign w:val="bottom"/>
            <w:shd w:val="clear" w:color="auto" w:fill="D9D9D9"/>
          </w:tcPr>
          <w:p>
            <w:pPr>
              <w:spacing w:after="0"/>
              <w:rPr>
                <w:sz w:val="22"/>
                <w:szCs w:val="22"/>
                <w:color w:val="auto"/>
              </w:rPr>
            </w:pPr>
          </w:p>
        </w:tc>
        <w:tc>
          <w:tcPr>
            <w:tcW w:w="20" w:type="dxa"/>
            <w:vAlign w:val="bottom"/>
            <w:shd w:val="clear" w:color="auto" w:fill="D9D9D9"/>
          </w:tcPr>
          <w:p>
            <w:pPr>
              <w:spacing w:after="0"/>
              <w:rPr>
                <w:sz w:val="22"/>
                <w:szCs w:val="22"/>
                <w:color w:val="auto"/>
              </w:rPr>
            </w:pPr>
          </w:p>
        </w:tc>
        <w:tc>
          <w:tcPr>
            <w:tcW w:w="940" w:type="dxa"/>
            <w:vAlign w:val="bottom"/>
            <w:tcBorders>
              <w:right w:val="single" w:sz="8" w:color="auto"/>
            </w:tcBorders>
            <w:shd w:val="clear" w:color="auto" w:fill="D9D9D9"/>
          </w:tcPr>
          <w:p>
            <w:pPr>
              <w:spacing w:after="0"/>
              <w:rPr>
                <w:sz w:val="22"/>
                <w:szCs w:val="22"/>
                <w:color w:val="auto"/>
              </w:rPr>
            </w:pPr>
          </w:p>
        </w:tc>
        <w:tc>
          <w:tcPr>
            <w:tcW w:w="2820" w:type="dxa"/>
            <w:vAlign w:val="bottom"/>
            <w:tcBorders>
              <w:right w:val="single" w:sz="8" w:color="auto"/>
            </w:tcBorders>
            <w:shd w:val="clear" w:color="auto" w:fill="D9D9D9"/>
          </w:tcPr>
          <w:p>
            <w:pPr>
              <w:spacing w:after="0"/>
              <w:rPr>
                <w:sz w:val="22"/>
                <w:szCs w:val="22"/>
                <w:color w:val="auto"/>
              </w:rPr>
            </w:pPr>
          </w:p>
        </w:tc>
        <w:tc>
          <w:tcPr>
            <w:tcW w:w="28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and RFR Spread</w:t>
            </w:r>
          </w:p>
        </w:tc>
        <w:tc>
          <w:tcPr>
            <w:tcW w:w="2820" w:type="dxa"/>
            <w:vAlign w:val="bottom"/>
            <w:tcBorders>
              <w:right w:val="single" w:sz="8" w:color="auto"/>
            </w:tcBorders>
            <w:shd w:val="clear" w:color="auto" w:fill="D9D9D9"/>
          </w:tcPr>
          <w:p>
            <w:pPr>
              <w:spacing w:after="0"/>
              <w:rPr>
                <w:sz w:val="22"/>
                <w:szCs w:val="22"/>
                <w:color w:val="auto"/>
              </w:rPr>
            </w:pPr>
          </w:p>
        </w:tc>
      </w:tr>
      <w:tr>
        <w:trPr>
          <w:trHeight w:val="237"/>
        </w:trPr>
        <w:tc>
          <w:tcPr>
            <w:tcW w:w="960" w:type="dxa"/>
            <w:vAlign w:val="bottom"/>
            <w:tcBorders>
              <w:left w:val="single" w:sz="8" w:color="auto"/>
              <w:bottom w:val="single" w:sz="8" w:color="auto"/>
            </w:tcBorders>
            <w:shd w:val="clear" w:color="auto" w:fill="D9D9D9"/>
          </w:tcPr>
          <w:p>
            <w:pPr>
              <w:spacing w:after="0"/>
              <w:rPr>
                <w:sz w:val="20"/>
                <w:szCs w:val="20"/>
                <w:color w:val="auto"/>
              </w:rPr>
            </w:pPr>
          </w:p>
        </w:tc>
        <w:tc>
          <w:tcPr>
            <w:tcW w:w="880" w:type="dxa"/>
            <w:vAlign w:val="bottom"/>
            <w:tcBorders>
              <w:bottom w:val="single" w:sz="8" w:color="auto"/>
            </w:tcBorders>
            <w:shd w:val="clear" w:color="auto" w:fill="D9D9D9"/>
          </w:tcPr>
          <w:p>
            <w:pPr>
              <w:spacing w:after="0"/>
              <w:rPr>
                <w:sz w:val="20"/>
                <w:szCs w:val="20"/>
                <w:color w:val="auto"/>
              </w:rPr>
            </w:pPr>
          </w:p>
        </w:tc>
        <w:tc>
          <w:tcPr>
            <w:tcW w:w="20" w:type="dxa"/>
            <w:vAlign w:val="bottom"/>
            <w:tcBorders>
              <w:bottom w:val="single" w:sz="8" w:color="auto"/>
            </w:tcBorders>
            <w:shd w:val="clear" w:color="auto" w:fill="D9D9D9"/>
          </w:tcPr>
          <w:p>
            <w:pPr>
              <w:spacing w:after="0"/>
              <w:rPr>
                <w:sz w:val="20"/>
                <w:szCs w:val="20"/>
                <w:color w:val="auto"/>
              </w:rPr>
            </w:pPr>
          </w:p>
        </w:tc>
        <w:tc>
          <w:tcPr>
            <w:tcW w:w="940" w:type="dxa"/>
            <w:vAlign w:val="bottom"/>
            <w:tcBorders>
              <w:bottom w:val="single" w:sz="8" w:color="auto"/>
              <w:right w:val="single" w:sz="8" w:color="auto"/>
            </w:tcBorders>
            <w:shd w:val="clear" w:color="auto" w:fill="D9D9D9"/>
          </w:tcPr>
          <w:p>
            <w:pPr>
              <w:spacing w:after="0"/>
              <w:rPr>
                <w:sz w:val="20"/>
                <w:szCs w:val="20"/>
                <w:color w:val="auto"/>
              </w:rPr>
            </w:pPr>
          </w:p>
        </w:tc>
        <w:tc>
          <w:tcPr>
            <w:tcW w:w="2820" w:type="dxa"/>
            <w:vAlign w:val="bottom"/>
            <w:tcBorders>
              <w:bottom w:val="single" w:sz="8" w:color="auto"/>
              <w:right w:val="single" w:sz="8" w:color="auto"/>
            </w:tcBorders>
            <w:shd w:val="clear" w:color="auto" w:fill="D9D9D9"/>
          </w:tcPr>
          <w:p>
            <w:pPr>
              <w:spacing w:after="0"/>
              <w:rPr>
                <w:sz w:val="20"/>
                <w:szCs w:val="20"/>
                <w:color w:val="auto"/>
              </w:rPr>
            </w:pPr>
          </w:p>
        </w:tc>
        <w:tc>
          <w:tcPr>
            <w:tcW w:w="2820" w:type="dxa"/>
            <w:vAlign w:val="bottom"/>
            <w:tcBorders>
              <w:bottom w:val="single" w:sz="8" w:color="auto"/>
              <w:right w:val="single" w:sz="8" w:color="auto"/>
            </w:tcBorders>
            <w:shd w:val="clear" w:color="auto" w:fill="D9D9D9"/>
          </w:tcPr>
          <w:p>
            <w:pPr>
              <w:spacing w:after="0"/>
              <w:rPr>
                <w:sz w:val="20"/>
                <w:szCs w:val="20"/>
                <w:color w:val="auto"/>
              </w:rPr>
            </w:pPr>
          </w:p>
        </w:tc>
        <w:tc>
          <w:tcPr>
            <w:tcW w:w="2820" w:type="dxa"/>
            <w:vAlign w:val="bottom"/>
            <w:tcBorders>
              <w:bottom w:val="single" w:sz="8" w:color="auto"/>
              <w:right w:val="single" w:sz="8" w:color="auto"/>
            </w:tcBorders>
            <w:shd w:val="clear" w:color="auto" w:fill="D9D9D9"/>
          </w:tcPr>
          <w:p>
            <w:pPr>
              <w:spacing w:after="0"/>
              <w:rPr>
                <w:sz w:val="20"/>
                <w:szCs w:val="20"/>
                <w:color w:val="auto"/>
              </w:rPr>
            </w:pPr>
          </w:p>
        </w:tc>
      </w:tr>
      <w:tr>
        <w:trPr>
          <w:trHeight w:val="210"/>
        </w:trPr>
        <w:tc>
          <w:tcPr>
            <w:tcW w:w="960" w:type="dxa"/>
            <w:vAlign w:val="bottom"/>
            <w:tcBorders>
              <w:left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20"/>
              <w:spacing w:after="0" w:line="209" w:lineRule="exact"/>
              <w:rPr>
                <w:sz w:val="20"/>
                <w:szCs w:val="20"/>
                <w:color w:val="auto"/>
              </w:rPr>
            </w:pPr>
            <w:r>
              <w:rPr>
                <w:rFonts w:ascii="Times New Roman" w:cs="Times New Roman" w:eastAsia="Times New Roman" w:hAnsi="Times New Roman"/>
                <w:sz w:val="20"/>
                <w:szCs w:val="20"/>
                <w:color w:val="auto"/>
                <w:w w:val="99"/>
              </w:rPr>
              <w:t>Category 1</w:t>
            </w:r>
          </w:p>
        </w:tc>
        <w:tc>
          <w:tcPr>
            <w:tcW w:w="94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7"/>
              </w:rPr>
              <w:t>0.125%</w:t>
            </w: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1.125%</w:t>
            </w: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7"/>
              </w:rPr>
              <w:t>0.125%</w:t>
            </w:r>
          </w:p>
        </w:tc>
      </w:tr>
      <w:tr>
        <w:trPr>
          <w:trHeight w:val="269"/>
        </w:trPr>
        <w:tc>
          <w:tcPr>
            <w:tcW w:w="280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&lt; 0.75 to 1.00</w:t>
            </w:r>
          </w:p>
        </w:tc>
        <w:tc>
          <w:tcPr>
            <w:tcW w:w="2820" w:type="dxa"/>
            <w:vAlign w:val="bottom"/>
            <w:tcBorders>
              <w:right w:val="single" w:sz="8" w:color="auto"/>
            </w:tcBorders>
          </w:tcPr>
          <w:p>
            <w:pPr>
              <w:spacing w:after="0"/>
              <w:rPr>
                <w:sz w:val="23"/>
                <w:szCs w:val="23"/>
                <w:color w:val="auto"/>
              </w:rPr>
            </w:pPr>
          </w:p>
        </w:tc>
        <w:tc>
          <w:tcPr>
            <w:tcW w:w="2820" w:type="dxa"/>
            <w:vAlign w:val="bottom"/>
            <w:tcBorders>
              <w:right w:val="single" w:sz="8" w:color="auto"/>
            </w:tcBorders>
          </w:tcPr>
          <w:p>
            <w:pPr>
              <w:spacing w:after="0"/>
              <w:rPr>
                <w:sz w:val="23"/>
                <w:szCs w:val="23"/>
                <w:color w:val="auto"/>
              </w:rPr>
            </w:pPr>
          </w:p>
        </w:tc>
        <w:tc>
          <w:tcPr>
            <w:tcW w:w="2820" w:type="dxa"/>
            <w:vAlign w:val="bottom"/>
            <w:tcBorders>
              <w:right w:val="single" w:sz="8" w:color="auto"/>
            </w:tcBorders>
          </w:tcPr>
          <w:p>
            <w:pPr>
              <w:spacing w:after="0"/>
              <w:rPr>
                <w:sz w:val="23"/>
                <w:szCs w:val="23"/>
                <w:color w:val="auto"/>
              </w:rPr>
            </w:pPr>
          </w:p>
        </w:tc>
      </w:tr>
      <w:tr>
        <w:trPr>
          <w:trHeight w:val="21"/>
        </w:trPr>
        <w:tc>
          <w:tcPr>
            <w:tcW w:w="96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960" w:type="dxa"/>
            <w:vAlign w:val="bottom"/>
            <w:tcBorders>
              <w:left w:val="single" w:sz="8" w:color="auto"/>
            </w:tcBorders>
          </w:tcPr>
          <w:p>
            <w:pPr>
              <w:spacing w:after="0"/>
              <w:rPr>
                <w:sz w:val="18"/>
                <w:szCs w:val="18"/>
                <w:color w:val="auto"/>
              </w:rPr>
            </w:pPr>
          </w:p>
        </w:tc>
        <w:tc>
          <w:tcPr>
            <w:tcW w:w="1840" w:type="dxa"/>
            <w:vAlign w:val="bottom"/>
            <w:tcBorders>
              <w:right w:val="single" w:sz="8" w:color="auto"/>
            </w:tcBorders>
            <w:gridSpan w:val="3"/>
          </w:tcPr>
          <w:p>
            <w:pPr>
              <w:jc w:val="center"/>
              <w:ind w:right="960"/>
              <w:spacing w:after="0" w:line="209" w:lineRule="exact"/>
              <w:rPr>
                <w:sz w:val="20"/>
                <w:szCs w:val="20"/>
                <w:color w:val="auto"/>
              </w:rPr>
            </w:pPr>
            <w:r>
              <w:rPr>
                <w:rFonts w:ascii="Times New Roman" w:cs="Times New Roman" w:eastAsia="Times New Roman" w:hAnsi="Times New Roman"/>
                <w:sz w:val="20"/>
                <w:szCs w:val="20"/>
                <w:color w:val="auto"/>
                <w:w w:val="99"/>
              </w:rPr>
              <w:t>Category 2</w:t>
            </w: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0.25%</w:t>
            </w: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1.25%</w:t>
            </w: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0.15%</w:t>
            </w:r>
          </w:p>
        </w:tc>
      </w:tr>
      <w:tr>
        <w:trPr>
          <w:trHeight w:val="20"/>
        </w:trPr>
        <w:tc>
          <w:tcPr>
            <w:tcW w:w="960" w:type="dxa"/>
            <w:vAlign w:val="bottom"/>
            <w:tcBorders>
              <w:lef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2820" w:type="dxa"/>
            <w:vAlign w:val="bottom"/>
            <w:tcBorders>
              <w:right w:val="single" w:sz="8" w:color="auto"/>
            </w:tcBorders>
          </w:tcPr>
          <w:p>
            <w:pPr>
              <w:spacing w:after="0" w:line="20" w:lineRule="exact"/>
              <w:rPr>
                <w:sz w:val="1"/>
                <w:szCs w:val="1"/>
                <w:color w:val="auto"/>
              </w:rPr>
            </w:pPr>
          </w:p>
        </w:tc>
        <w:tc>
          <w:tcPr>
            <w:tcW w:w="2820" w:type="dxa"/>
            <w:vAlign w:val="bottom"/>
            <w:tcBorders>
              <w:right w:val="single" w:sz="8" w:color="auto"/>
            </w:tcBorders>
          </w:tcPr>
          <w:p>
            <w:pPr>
              <w:spacing w:after="0" w:line="20" w:lineRule="exact"/>
              <w:rPr>
                <w:sz w:val="1"/>
                <w:szCs w:val="1"/>
                <w:color w:val="auto"/>
              </w:rPr>
            </w:pPr>
          </w:p>
        </w:tc>
        <w:tc>
          <w:tcPr>
            <w:tcW w:w="2820" w:type="dxa"/>
            <w:vAlign w:val="bottom"/>
            <w:tcBorders>
              <w:right w:val="single" w:sz="8" w:color="auto"/>
            </w:tcBorders>
          </w:tcPr>
          <w:p>
            <w:pPr>
              <w:spacing w:after="0" w:line="20" w:lineRule="exact"/>
              <w:rPr>
                <w:sz w:val="1"/>
                <w:szCs w:val="1"/>
                <w:color w:val="auto"/>
              </w:rPr>
            </w:pPr>
          </w:p>
        </w:tc>
      </w:tr>
      <w:tr>
        <w:trPr>
          <w:trHeight w:val="241"/>
        </w:trPr>
        <w:tc>
          <w:tcPr>
            <w:tcW w:w="280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 0.75 to 1.00 but</w:t>
            </w:r>
          </w:p>
        </w:tc>
        <w:tc>
          <w:tcPr>
            <w:tcW w:w="282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r>
      <w:tr>
        <w:trPr>
          <w:trHeight w:val="258"/>
        </w:trPr>
        <w:tc>
          <w:tcPr>
            <w:tcW w:w="280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&lt; 1.50 to 1.00</w:t>
            </w:r>
          </w:p>
        </w:tc>
        <w:tc>
          <w:tcPr>
            <w:tcW w:w="282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tcPr>
          <w:p>
            <w:pPr>
              <w:spacing w:after="0"/>
              <w:rPr>
                <w:sz w:val="22"/>
                <w:szCs w:val="22"/>
                <w:color w:val="auto"/>
              </w:rPr>
            </w:pPr>
          </w:p>
        </w:tc>
      </w:tr>
      <w:tr>
        <w:trPr>
          <w:trHeight w:val="35"/>
        </w:trPr>
        <w:tc>
          <w:tcPr>
            <w:tcW w:w="960" w:type="dxa"/>
            <w:vAlign w:val="bottom"/>
            <w:tcBorders>
              <w:left w:val="single" w:sz="8" w:color="auto"/>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210"/>
        </w:trPr>
        <w:tc>
          <w:tcPr>
            <w:tcW w:w="960" w:type="dxa"/>
            <w:vAlign w:val="bottom"/>
            <w:tcBorders>
              <w:left w:val="single" w:sz="8" w:color="auto"/>
            </w:tcBorders>
          </w:tcPr>
          <w:p>
            <w:pPr>
              <w:spacing w:after="0"/>
              <w:rPr>
                <w:sz w:val="18"/>
                <w:szCs w:val="18"/>
                <w:color w:val="auto"/>
              </w:rPr>
            </w:pPr>
          </w:p>
        </w:tc>
        <w:tc>
          <w:tcPr>
            <w:tcW w:w="1840" w:type="dxa"/>
            <w:vAlign w:val="bottom"/>
            <w:tcBorders>
              <w:right w:val="single" w:sz="8" w:color="auto"/>
            </w:tcBorders>
            <w:gridSpan w:val="3"/>
          </w:tcPr>
          <w:p>
            <w:pPr>
              <w:jc w:val="center"/>
              <w:ind w:right="960"/>
              <w:spacing w:after="0" w:line="209" w:lineRule="exact"/>
              <w:rPr>
                <w:sz w:val="20"/>
                <w:szCs w:val="20"/>
                <w:color w:val="auto"/>
              </w:rPr>
            </w:pPr>
            <w:r>
              <w:rPr>
                <w:rFonts w:ascii="Times New Roman" w:cs="Times New Roman" w:eastAsia="Times New Roman" w:hAnsi="Times New Roman"/>
                <w:sz w:val="20"/>
                <w:szCs w:val="20"/>
                <w:color w:val="auto"/>
                <w:w w:val="99"/>
              </w:rPr>
              <w:t>Category 3</w:t>
            </w: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0.50%</w:t>
            </w: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1.50%</w:t>
            </w: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7"/>
              </w:rPr>
              <w:t>0.175%</w:t>
            </w:r>
          </w:p>
        </w:tc>
      </w:tr>
      <w:tr>
        <w:trPr>
          <w:trHeight w:val="20"/>
        </w:trPr>
        <w:tc>
          <w:tcPr>
            <w:tcW w:w="960" w:type="dxa"/>
            <w:vAlign w:val="bottom"/>
            <w:tcBorders>
              <w:lef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2820" w:type="dxa"/>
            <w:vAlign w:val="bottom"/>
            <w:tcBorders>
              <w:right w:val="single" w:sz="8" w:color="auto"/>
            </w:tcBorders>
          </w:tcPr>
          <w:p>
            <w:pPr>
              <w:spacing w:after="0" w:line="20" w:lineRule="exact"/>
              <w:rPr>
                <w:sz w:val="1"/>
                <w:szCs w:val="1"/>
                <w:color w:val="auto"/>
              </w:rPr>
            </w:pPr>
          </w:p>
        </w:tc>
        <w:tc>
          <w:tcPr>
            <w:tcW w:w="2820" w:type="dxa"/>
            <w:vAlign w:val="bottom"/>
            <w:tcBorders>
              <w:right w:val="single" w:sz="8" w:color="auto"/>
            </w:tcBorders>
          </w:tcPr>
          <w:p>
            <w:pPr>
              <w:spacing w:after="0" w:line="20" w:lineRule="exact"/>
              <w:rPr>
                <w:sz w:val="1"/>
                <w:szCs w:val="1"/>
                <w:color w:val="auto"/>
              </w:rPr>
            </w:pPr>
          </w:p>
        </w:tc>
        <w:tc>
          <w:tcPr>
            <w:tcW w:w="2820" w:type="dxa"/>
            <w:vAlign w:val="bottom"/>
            <w:tcBorders>
              <w:right w:val="single" w:sz="8" w:color="auto"/>
            </w:tcBorders>
          </w:tcPr>
          <w:p>
            <w:pPr>
              <w:spacing w:after="0" w:line="20" w:lineRule="exact"/>
              <w:rPr>
                <w:sz w:val="1"/>
                <w:szCs w:val="1"/>
                <w:color w:val="auto"/>
              </w:rPr>
            </w:pPr>
          </w:p>
        </w:tc>
      </w:tr>
      <w:tr>
        <w:trPr>
          <w:trHeight w:val="241"/>
        </w:trPr>
        <w:tc>
          <w:tcPr>
            <w:tcW w:w="280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 1.50 to 1.00 but</w:t>
            </w:r>
          </w:p>
        </w:tc>
        <w:tc>
          <w:tcPr>
            <w:tcW w:w="282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r>
      <w:tr>
        <w:trPr>
          <w:trHeight w:val="258"/>
        </w:trPr>
        <w:tc>
          <w:tcPr>
            <w:tcW w:w="280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&lt; 2.25 to 1.00</w:t>
            </w:r>
          </w:p>
        </w:tc>
        <w:tc>
          <w:tcPr>
            <w:tcW w:w="282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tcPr>
          <w:p>
            <w:pPr>
              <w:spacing w:after="0"/>
              <w:rPr>
                <w:sz w:val="22"/>
                <w:szCs w:val="22"/>
                <w:color w:val="auto"/>
              </w:rPr>
            </w:pPr>
          </w:p>
        </w:tc>
      </w:tr>
      <w:tr>
        <w:trPr>
          <w:trHeight w:val="35"/>
        </w:trPr>
        <w:tc>
          <w:tcPr>
            <w:tcW w:w="960" w:type="dxa"/>
            <w:vAlign w:val="bottom"/>
            <w:tcBorders>
              <w:left w:val="single" w:sz="8" w:color="auto"/>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210"/>
        </w:trPr>
        <w:tc>
          <w:tcPr>
            <w:tcW w:w="960" w:type="dxa"/>
            <w:vAlign w:val="bottom"/>
            <w:tcBorders>
              <w:left w:val="single" w:sz="8" w:color="auto"/>
            </w:tcBorders>
          </w:tcPr>
          <w:p>
            <w:pPr>
              <w:spacing w:after="0"/>
              <w:rPr>
                <w:sz w:val="18"/>
                <w:szCs w:val="18"/>
                <w:color w:val="auto"/>
              </w:rPr>
            </w:pPr>
          </w:p>
        </w:tc>
        <w:tc>
          <w:tcPr>
            <w:tcW w:w="1840" w:type="dxa"/>
            <w:vAlign w:val="bottom"/>
            <w:tcBorders>
              <w:right w:val="single" w:sz="8" w:color="auto"/>
            </w:tcBorders>
            <w:gridSpan w:val="3"/>
          </w:tcPr>
          <w:p>
            <w:pPr>
              <w:jc w:val="center"/>
              <w:ind w:right="960"/>
              <w:spacing w:after="0" w:line="209" w:lineRule="exact"/>
              <w:rPr>
                <w:sz w:val="20"/>
                <w:szCs w:val="20"/>
                <w:color w:val="auto"/>
              </w:rPr>
            </w:pPr>
            <w:r>
              <w:rPr>
                <w:rFonts w:ascii="Times New Roman" w:cs="Times New Roman" w:eastAsia="Times New Roman" w:hAnsi="Times New Roman"/>
                <w:sz w:val="20"/>
                <w:szCs w:val="20"/>
                <w:color w:val="auto"/>
                <w:w w:val="99"/>
              </w:rPr>
              <w:t>Category 4</w:t>
            </w: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0.75%</w:t>
            </w: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1.75%</w:t>
            </w: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0.20%</w:t>
            </w:r>
          </w:p>
        </w:tc>
      </w:tr>
      <w:tr>
        <w:trPr>
          <w:trHeight w:val="20"/>
        </w:trPr>
        <w:tc>
          <w:tcPr>
            <w:tcW w:w="960" w:type="dxa"/>
            <w:vAlign w:val="bottom"/>
            <w:tcBorders>
              <w:lef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2820" w:type="dxa"/>
            <w:vAlign w:val="bottom"/>
            <w:tcBorders>
              <w:right w:val="single" w:sz="8" w:color="auto"/>
            </w:tcBorders>
          </w:tcPr>
          <w:p>
            <w:pPr>
              <w:spacing w:after="0" w:line="20" w:lineRule="exact"/>
              <w:rPr>
                <w:sz w:val="1"/>
                <w:szCs w:val="1"/>
                <w:color w:val="auto"/>
              </w:rPr>
            </w:pPr>
          </w:p>
        </w:tc>
        <w:tc>
          <w:tcPr>
            <w:tcW w:w="2820" w:type="dxa"/>
            <w:vAlign w:val="bottom"/>
            <w:tcBorders>
              <w:right w:val="single" w:sz="8" w:color="auto"/>
            </w:tcBorders>
          </w:tcPr>
          <w:p>
            <w:pPr>
              <w:spacing w:after="0" w:line="20" w:lineRule="exact"/>
              <w:rPr>
                <w:sz w:val="1"/>
                <w:szCs w:val="1"/>
                <w:color w:val="auto"/>
              </w:rPr>
            </w:pPr>
          </w:p>
        </w:tc>
        <w:tc>
          <w:tcPr>
            <w:tcW w:w="2820" w:type="dxa"/>
            <w:vAlign w:val="bottom"/>
            <w:tcBorders>
              <w:right w:val="single" w:sz="8" w:color="auto"/>
            </w:tcBorders>
          </w:tcPr>
          <w:p>
            <w:pPr>
              <w:spacing w:after="0" w:line="20" w:lineRule="exact"/>
              <w:rPr>
                <w:sz w:val="1"/>
                <w:szCs w:val="1"/>
                <w:color w:val="auto"/>
              </w:rPr>
            </w:pPr>
          </w:p>
        </w:tc>
      </w:tr>
      <w:tr>
        <w:trPr>
          <w:trHeight w:val="241"/>
        </w:trPr>
        <w:tc>
          <w:tcPr>
            <w:tcW w:w="280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 2.25 to 1.00 but</w:t>
            </w:r>
          </w:p>
        </w:tc>
        <w:tc>
          <w:tcPr>
            <w:tcW w:w="282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r>
      <w:tr>
        <w:trPr>
          <w:trHeight w:val="258"/>
        </w:trPr>
        <w:tc>
          <w:tcPr>
            <w:tcW w:w="280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&lt; 2.75 to 1.00</w:t>
            </w:r>
          </w:p>
        </w:tc>
        <w:tc>
          <w:tcPr>
            <w:tcW w:w="282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tcPr>
          <w:p>
            <w:pPr>
              <w:spacing w:after="0"/>
              <w:rPr>
                <w:sz w:val="22"/>
                <w:szCs w:val="22"/>
                <w:color w:val="auto"/>
              </w:rPr>
            </w:pPr>
          </w:p>
        </w:tc>
      </w:tr>
      <w:tr>
        <w:trPr>
          <w:trHeight w:val="35"/>
        </w:trPr>
        <w:tc>
          <w:tcPr>
            <w:tcW w:w="960" w:type="dxa"/>
            <w:vAlign w:val="bottom"/>
            <w:tcBorders>
              <w:left w:val="single" w:sz="8" w:color="auto"/>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210"/>
        </w:trPr>
        <w:tc>
          <w:tcPr>
            <w:tcW w:w="960" w:type="dxa"/>
            <w:vAlign w:val="bottom"/>
            <w:tcBorders>
              <w:left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20"/>
              <w:spacing w:after="0" w:line="209" w:lineRule="exact"/>
              <w:rPr>
                <w:sz w:val="20"/>
                <w:szCs w:val="20"/>
                <w:color w:val="auto"/>
              </w:rPr>
            </w:pPr>
            <w:r>
              <w:rPr>
                <w:rFonts w:ascii="Times New Roman" w:cs="Times New Roman" w:eastAsia="Times New Roman" w:hAnsi="Times New Roman"/>
                <w:sz w:val="20"/>
                <w:szCs w:val="20"/>
                <w:color w:val="auto"/>
                <w:w w:val="99"/>
              </w:rPr>
              <w:t>Category 5</w:t>
            </w:r>
          </w:p>
        </w:tc>
        <w:tc>
          <w:tcPr>
            <w:tcW w:w="94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1.00%</w:t>
            </w: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2.00%</w:t>
            </w:r>
          </w:p>
        </w:tc>
        <w:tc>
          <w:tcPr>
            <w:tcW w:w="2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7"/>
              </w:rPr>
              <w:t>0.225%</w:t>
            </w:r>
          </w:p>
        </w:tc>
      </w:tr>
      <w:tr>
        <w:trPr>
          <w:trHeight w:val="270"/>
        </w:trPr>
        <w:tc>
          <w:tcPr>
            <w:tcW w:w="280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 2.75 to 1.00</w:t>
            </w:r>
          </w:p>
        </w:tc>
        <w:tc>
          <w:tcPr>
            <w:tcW w:w="2820" w:type="dxa"/>
            <w:vAlign w:val="bottom"/>
            <w:tcBorders>
              <w:right w:val="single" w:sz="8" w:color="auto"/>
            </w:tcBorders>
          </w:tcPr>
          <w:p>
            <w:pPr>
              <w:spacing w:after="0"/>
              <w:rPr>
                <w:sz w:val="23"/>
                <w:szCs w:val="23"/>
                <w:color w:val="auto"/>
              </w:rPr>
            </w:pPr>
          </w:p>
        </w:tc>
        <w:tc>
          <w:tcPr>
            <w:tcW w:w="2820" w:type="dxa"/>
            <w:vAlign w:val="bottom"/>
            <w:tcBorders>
              <w:right w:val="single" w:sz="8" w:color="auto"/>
            </w:tcBorders>
          </w:tcPr>
          <w:p>
            <w:pPr>
              <w:spacing w:after="0"/>
              <w:rPr>
                <w:sz w:val="23"/>
                <w:szCs w:val="23"/>
                <w:color w:val="auto"/>
              </w:rPr>
            </w:pPr>
          </w:p>
        </w:tc>
        <w:tc>
          <w:tcPr>
            <w:tcW w:w="2820" w:type="dxa"/>
            <w:vAlign w:val="bottom"/>
            <w:tcBorders>
              <w:right w:val="single" w:sz="8" w:color="auto"/>
            </w:tcBorders>
          </w:tcPr>
          <w:p>
            <w:pPr>
              <w:spacing w:after="0"/>
              <w:rPr>
                <w:sz w:val="23"/>
                <w:szCs w:val="23"/>
                <w:color w:val="auto"/>
              </w:rPr>
            </w:pPr>
          </w:p>
        </w:tc>
      </w:tr>
      <w:tr>
        <w:trPr>
          <w:trHeight w:val="21"/>
        </w:trPr>
        <w:tc>
          <w:tcPr>
            <w:tcW w:w="96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60"/>
          </w:cols>
          <w:pgMar w:left="320" w:top="1440" w:right="319" w:bottom="1440" w:gutter="0" w:footer="0" w:header="0"/>
        </w:sectPr>
      </w:pPr>
    </w:p>
    <w:bookmarkStart w:id="12" w:name="page13"/>
    <w:bookmarkEnd w:id="12"/>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For purposes of the foregoing, (a) the Applicable Rate shall be determined as of the end of each fiscal quarter of the Borrower, based upon the Financial Statements delivered pursuant to Section 5.01(a) or (b) for such fiscal quarter and (b) each change in the Applicable Rate resulting from a change in the Net Leverage Ratio shall be effective during the period commencing on and including the date of delivery to the Administrative Agent of such Financial Statements indicating such change and ending on the date immediately preceding the effective date of the next such change,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option of the Administrative Agent or at the request of the Required Lenders, if the Borrower fails to deliver the annual or quarterly Financial Statements required to be delivered by it pursuant to Section 5.01(a) or (b), the Net Leverage Ratio shall be deemed to be in Category 3 during the period from the expiration of the time for delivery thereof until such consolidated financial statements are delivered.</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at any time the Administrative Agent determines that the Financial Statements upon which the Applicable Rate was determined were incorrect (whether based on a restatement, fraud or otherwise), or any ratio or compliance information in a Compliance Certificate or other certification was incorrectly calculated, relied on incorrect information or was otherwise not accurate, true or correct, the Borrower shall be required to retroactively pay any additional amount that the Borrower would have been required to pay if such Financial Statements, Compliance Certificate or other information had been accurate and/or computed correctly at the time they were delivered.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has the meaning assigned to it in Section 8.03(a).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has the meaning assigned to the term in Section 9.04(b).</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w:t>
      </w:r>
      <w:r>
        <w:rPr>
          <w:rFonts w:ascii="Times New Roman" w:cs="Times New Roman" w:eastAsia="Times New Roman" w:hAnsi="Times New Roman"/>
          <w:sz w:val="20"/>
          <w:szCs w:val="20"/>
          <w:color w:val="auto"/>
        </w:rPr>
        <w:t>” means BMO Capital Markets Corp., in its capacity as sole bookrunner and joint lead arranger, and PNC Bank, National Association and KeyBank, National Association, in their capacities as joint lead arrangers, for the credit facility evidenced by this Agreement.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(including electronic records generated by the use of an electronic platform) approved by the Administrative Agent.</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 Interpolated Rate</w:t>
      </w:r>
      <w:r>
        <w:rPr>
          <w:rFonts w:ascii="Times New Roman" w:cs="Times New Roman" w:eastAsia="Times New Roman" w:hAnsi="Times New Roman"/>
          <w:sz w:val="20"/>
          <w:szCs w:val="20"/>
          <w:color w:val="auto"/>
        </w:rPr>
        <w:t>” means, at any time, with respect to any Term Benchmark Borrowing denominated in Australian Dollars and for any Interest Period, the rate per annum (rounded to the same number of decimal places as the AUD Screen Rate) determined by the Administrative Agent (which determination shall be conclusive and binding absent manifest error) to be equal to the rate that results from interpolating on a linear basis between: (a) the AUD Screen Rate for the longest period (for which the AUD Screen Rate is available) that is shorter than the Impacted AUD Rate Interest Period; and (b) the AUD Screen Rate for the shortest period (for which the AUD Screen Rate is available) that exceeds the Impacted AUD Rate Interest Period, in each case, at such time; provided that if any AUD Interpolated Rate shall be less than the Floor, such rate shall be deemed to be the Floor for the purposes of this Agreement.</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 Rate</w:t>
      </w:r>
      <w:r>
        <w:rPr>
          <w:rFonts w:ascii="Times New Roman" w:cs="Times New Roman" w:eastAsia="Times New Roman" w:hAnsi="Times New Roman"/>
          <w:sz w:val="20"/>
          <w:szCs w:val="20"/>
          <w:color w:val="auto"/>
        </w:rPr>
        <w:t>” means, with respect to any Term Benchmark Borrowing denominated in Australian Dollars and for any Interest Period, the AUD Screen Rate at approximately 11:00 a.m., Sydney, Australia time, on the first day of such Interest Period; provided that, if the AUD Screen Rate shall not be available at such time for such Interest Period (an “</w:t>
      </w:r>
      <w:r>
        <w:rPr>
          <w:rFonts w:ascii="Times New Roman" w:cs="Times New Roman" w:eastAsia="Times New Roman" w:hAnsi="Times New Roman"/>
          <w:sz w:val="20"/>
          <w:szCs w:val="20"/>
          <w:u w:val="single" w:color="auto"/>
          <w:color w:val="auto"/>
        </w:rPr>
        <w:t>Impacted AUD Rate Interest Period</w:t>
      </w:r>
      <w:r>
        <w:rPr>
          <w:rFonts w:ascii="Times New Roman" w:cs="Times New Roman" w:eastAsia="Times New Roman" w:hAnsi="Times New Roman"/>
          <w:sz w:val="20"/>
          <w:szCs w:val="20"/>
          <w:color w:val="auto"/>
        </w:rPr>
        <w:t>”) with respect to Australian Dollars, then the AUD Rate shall be the AUD Interpolated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 Screen Rate</w:t>
      </w:r>
      <w:r>
        <w:rPr>
          <w:rFonts w:ascii="Times New Roman" w:cs="Times New Roman" w:eastAsia="Times New Roman" w:hAnsi="Times New Roman"/>
          <w:sz w:val="20"/>
          <w:szCs w:val="20"/>
          <w:color w:val="auto"/>
        </w:rPr>
        <w:t>” means, for any day and time, with respect to any Term Benchmark Borrowing denominated in Australian Dollars and for any Interest Period, the average bid reference rate administered by ASX Benchmarks Pty Limited (ACN 616 075 417)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provided that if, the AUD Screen Rate shall be less than the Floor, the AUD Screen Rate shall be deemed to be the Floor for purposes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Australian Dollars</w:t>
      </w:r>
      <w:r>
        <w:rPr>
          <w:rFonts w:ascii="Times New Roman" w:cs="Times New Roman" w:eastAsia="Times New Roman" w:hAnsi="Times New Roman"/>
          <w:sz w:val="20"/>
          <w:szCs w:val="20"/>
          <w:color w:val="auto"/>
        </w:rPr>
        <w:t>” means the lawful currency of Australia.</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the period from and including the Effective Date to but excluding the earlier of the Revolving Credit Maturity Date and the date of termination of the Revolving Commitments.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2.14(e).</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Montreal</w:t>
      </w:r>
      <w:r>
        <w:rPr>
          <w:rFonts w:ascii="Times New Roman" w:cs="Times New Roman" w:eastAsia="Times New Roman" w:hAnsi="Times New Roman"/>
          <w:sz w:val="20"/>
          <w:szCs w:val="20"/>
          <w:color w:val="auto"/>
        </w:rPr>
        <w:t>” means Bank of Montreal, in its individual capacity, and its successors.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w:t>
      </w:r>
      <w:r>
        <w:rPr>
          <w:rFonts w:ascii="Times New Roman" w:cs="Times New Roman" w:eastAsia="Times New Roman" w:hAnsi="Times New Roman"/>
          <w:sz w:val="20"/>
          <w:szCs w:val="20"/>
          <w:color w:val="auto"/>
        </w:rPr>
        <w:t>” means each and any of the following bank services provided to any Loan Party or any Subsidiary by any Lender or any of its Affiliates: (a) credit cards for commercial customers (including, without limitation, “commercial credit cards” and purchasing cards), (b) stored value cards, (c) merchant processing services, (d) treasury management services (including, without limitation, controlled disbursement, automated clearinghouse transactions, return items, any direct debit scheme or arrangement, overdrafts and interstate depository network services and cash pooling services), and (e) supply chain finance programs, subject to the limitations on the amount of obligations incurred in connection such supply chain finance programs set forth in Section 6.01(l).</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Obligations</w:t>
      </w:r>
      <w:r>
        <w:rPr>
          <w:rFonts w:ascii="Times New Roman" w:cs="Times New Roman" w:eastAsia="Times New Roman" w:hAnsi="Times New Roman"/>
          <w:sz w:val="20"/>
          <w:szCs w:val="20"/>
          <w:color w:val="auto"/>
        </w:rPr>
        <w:t>” means any and all obligations of the Loan Parties or its Subsidiaries, whether absolute or contingent and howsoever and whensoever created, arising, evidenced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acquired (including all renewals, extensions and modifications thereof and substitutions therefor) in connection with Banking Services.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entitled “Bankruptcy,” as now and hereafter in effect, or any successor thereto, as hereafter amended.</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means, initially, with respect to any (i) RFR Loan in any Agreed Currency, the applicable Relevant Rate for such Agreed Currency or (ii) Term Benchmark Loan in any Agreed Currency, the Relevant Rate for such Agreed Currency; provided that if a Benchmark Transition Event and its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Section 2.14(b).</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for any Available Tenor, the first alternative set forth in the order below that can be determined by the Administrative Agent for the applicable Benchmark Replacement Date; provided that, (x) in the case of any Loan denominated in an Agreed Currency other than Dollars, or (y) if the then current Benchmark is Daily Simple SOFR (including with respect to any Swingline Loan that is an RFR Loan), “Benchmark Replacement” shall mean the alternative set forth in (2) below:</w:t>
      </w:r>
    </w:p>
    <w:p>
      <w:pPr>
        <w:spacing w:after="0" w:line="172" w:lineRule="exact"/>
        <w:rPr>
          <w:sz w:val="20"/>
          <w:szCs w:val="20"/>
          <w:color w:val="auto"/>
        </w:rPr>
      </w:pPr>
    </w:p>
    <w:p>
      <w:pPr>
        <w:ind w:left="1740" w:hanging="436"/>
        <w:spacing w:after="0"/>
        <w:tabs>
          <w:tab w:leader="none" w:pos="1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Daily Simple SOFR and (b) the related Benchmark Replacement Adjustment; or</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4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at such time and (b)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8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 with respect to any Benchmark Replacement and/or any Term Benchmark Loan denominated in Dollars and/or any RFR Loan denominated in Dollars,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9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spacing w:after="0" w:line="146" w:lineRule="exact"/>
        <w:rPr>
          <w:sz w:val="20"/>
          <w:szCs w:val="20"/>
          <w:color w:val="auto"/>
        </w:rPr>
      </w:pPr>
    </w:p>
    <w:p>
      <w:pPr>
        <w:jc w:val="both"/>
        <w:ind w:left="660" w:firstLine="644"/>
        <w:spacing w:after="0" w:line="258" w:lineRule="auto"/>
        <w:tabs>
          <w:tab w:leader="none" w:pos="175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clauses (1) or (2) above with respect to any Benchmark upon the occurrence of the applicable event or events set forth therein with respect to all then-current Available Tenors of such Benchmark (or the published component used in the calculation thereof).</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then-current Benchmark:</w:t>
      </w:r>
    </w:p>
    <w:p>
      <w:pPr>
        <w:spacing w:after="0" w:line="146" w:lineRule="exact"/>
        <w:rPr>
          <w:sz w:val="20"/>
          <w:szCs w:val="20"/>
          <w:color w:val="auto"/>
        </w:rPr>
      </w:pPr>
    </w:p>
    <w:p>
      <w:pPr>
        <w:jc w:val="both"/>
        <w:ind w:left="660" w:firstLine="644"/>
        <w:spacing w:after="0" w:line="257" w:lineRule="auto"/>
        <w:tabs>
          <w:tab w:leader="none" w:pos="186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77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77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8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or control as required by the Beneficial Ownership Regulation.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 as amended, modified or supplemented from time to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Section 3(3) of ERISA) that is subject to Title I of ERISA,</w:t>
      </w:r>
    </w:p>
    <w:p>
      <w:pPr>
        <w:spacing w:after="0" w:line="33" w:lineRule="exact"/>
        <w:rPr>
          <w:sz w:val="20"/>
          <w:szCs w:val="20"/>
          <w:color w:val="auto"/>
        </w:rPr>
      </w:pPr>
    </w:p>
    <w:p>
      <w:pPr>
        <w:jc w:val="both"/>
        <w:ind w:firstLine="8"/>
        <w:spacing w:after="0" w:line="256" w:lineRule="auto"/>
        <w:tabs>
          <w:tab w:leader="none" w:pos="29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“plan” as defined in and subject to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BMO</w:t>
      </w:r>
      <w:r>
        <w:rPr>
          <w:rFonts w:ascii="Times New Roman" w:cs="Times New Roman" w:eastAsia="Times New Roman" w:hAnsi="Times New Roman"/>
          <w:sz w:val="20"/>
          <w:szCs w:val="20"/>
          <w:color w:val="auto"/>
        </w:rPr>
        <w:t>” means BMO Bank N.A., in its individual capacity, and its successors.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Cricut, Inc., a Delaware corporation.</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Loans of the same Type and Agreed Currency, made, converted or continued on the same date and, in the case of Term Benchmark Loans, as to which a single Interest Period is in effect or (b) a Swingline Loan.</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means a request by the Borrower for a Borrowing in accordance with Section 2.03, which shall be substantially in the form attached hereto as </w:t>
      </w:r>
      <w:r>
        <w:rPr>
          <w:rFonts w:ascii="Times New Roman" w:cs="Times New Roman" w:eastAsia="Times New Roman" w:hAnsi="Times New Roman"/>
          <w:sz w:val="20"/>
          <w:szCs w:val="20"/>
          <w:u w:val="single" w:color="auto"/>
          <w:color w:val="auto"/>
        </w:rPr>
        <w:t>Exhibit C-1</w:t>
      </w:r>
      <w:r>
        <w:rPr>
          <w:rFonts w:ascii="Times New Roman" w:cs="Times New Roman" w:eastAsia="Times New Roman" w:hAnsi="Times New Roman"/>
          <w:sz w:val="20"/>
          <w:szCs w:val="20"/>
          <w:color w:val="auto"/>
        </w:rPr>
        <w:t xml:space="preserve"> or any other form approved by the Administrative Agent.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Burdensome Restrictions</w:t>
      </w:r>
      <w:r>
        <w:rPr>
          <w:rFonts w:ascii="Times New Roman" w:cs="Times New Roman" w:eastAsia="Times New Roman" w:hAnsi="Times New Roman"/>
          <w:sz w:val="20"/>
          <w:szCs w:val="20"/>
          <w:color w:val="auto"/>
        </w:rPr>
        <w:t>” means any consensual encumbrance or restriction of the type described in clause (a) or (b) of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6.10.</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or a Sunday) on which banks are open for business in New York City or Chicago;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addition to the foregoing, a Business Day shall be (a) in relation to RFR Loans and any interest rate settings, fundings, disbursements, settlements or payments of any such RFR Loan, or any other dealings in the applicable Agreed Currency of such RFR Loan, any such day that is also a RFR Business Day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 and (c) in relation to Loans denominated in any other Agreed Currency or any interest rate settings, fundings, disbursements, settlements or payments of any such Loan, such day is a day on which dealings in the applicable Agreed Currency are carried on in the principal financial center of such Agreed Currency.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Exchange</w:t>
      </w:r>
      <w:r>
        <w:rPr>
          <w:rFonts w:ascii="Times New Roman" w:cs="Times New Roman" w:eastAsia="Times New Roman" w:hAnsi="Times New Roman"/>
          <w:sz w:val="20"/>
          <w:szCs w:val="20"/>
          <w:color w:val="auto"/>
        </w:rPr>
        <w:t xml:space="preserve">” means the exchange of the Lenders’ interests provided for in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Exchange Date</w:t>
      </w:r>
      <w:r>
        <w:rPr>
          <w:rFonts w:ascii="Times New Roman" w:cs="Times New Roman" w:eastAsia="Times New Roman" w:hAnsi="Times New Roman"/>
          <w:sz w:val="20"/>
          <w:szCs w:val="20"/>
          <w:color w:val="auto"/>
        </w:rPr>
        <w:t xml:space="preserve">” means the first date on which there shall occur (a) any event referred to in clauses (h) or (i)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with respect to any Borrower or (b) an acceleration of Revolving Loans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Percentage</w:t>
      </w:r>
      <w:r>
        <w:rPr>
          <w:rFonts w:ascii="Times New Roman" w:cs="Times New Roman" w:eastAsia="Times New Roman" w:hAnsi="Times New Roman"/>
          <w:sz w:val="20"/>
          <w:szCs w:val="20"/>
          <w:color w:val="auto"/>
        </w:rPr>
        <w:t>” means, as to each Lender, a fraction, expressed as a decimal, of which (a) the numerator shall be the aggregate Dollar Amount (determined on the basis of Exchange Rates prevailing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the CAM Exchange Date) of the Designated Obligations owed to such Lender (whether or not at the time due and payable) on the date immediately prior to the CAM Exchange Date and (b) the denominator shall be the Dollar Amount (as so determined) of the Designated Obligations owed to all the Lenders (whether or not at the time due and payable) on the date immediately prior to the CAM Exchange Date.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Dollars</w:t>
      </w:r>
      <w:r>
        <w:rPr>
          <w:rFonts w:ascii="Times New Roman" w:cs="Times New Roman" w:eastAsia="Times New Roman" w:hAnsi="Times New Roman"/>
          <w:sz w:val="20"/>
          <w:szCs w:val="20"/>
          <w:color w:val="auto"/>
        </w:rPr>
        <w:t>” means the lawful currency of Canada.</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w:t>
      </w:r>
      <w:r>
        <w:rPr>
          <w:rFonts w:ascii="Times New Roman" w:cs="Times New Roman" w:eastAsia="Times New Roman" w:hAnsi="Times New Roman"/>
          <w:sz w:val="20"/>
          <w:szCs w:val="20"/>
          <w:color w:val="auto"/>
        </w:rPr>
        <w:t>” when used in reference to any Loan or Borrowing, refers to whether such Loan, or the Loans comprising such Borrowing, are bearing interest at a rate determined by reference to the Canadian Prime Rate.</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w:t>
      </w:r>
      <w:r>
        <w:rPr>
          <w:rFonts w:ascii="Times New Roman" w:cs="Times New Roman" w:eastAsia="Times New Roman" w:hAnsi="Times New Roman"/>
          <w:sz w:val="20"/>
          <w:szCs w:val="20"/>
          <w:color w:val="auto"/>
        </w:rPr>
        <w:t>” means, on any day, a rate per annum determined by the Administrative Agent to be the rate equal to the PRIMCAN Index rate that appears on the Bloomberg screen at 10:15 a.m. Toronto, Ontario time on such day (or, in the event that the PRIMCAN Index is not published by Bloomberg, any other information service that publishes such index from time to time, as selected by the Administrative Agent in its reasonable discretion); provided, that if the above rate shall be less than 1% per annum, such rate shall be deemed to be 1% per annum for purposes of this Agreement. Any change in the Canadian Prime Rate due to a change in the PRIMCAN Index shall be effective from and including the effective date of such change in the PRIMCAN Index.</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or finance lease obligations on a balance sheet of such Person under GAAP, and the amount of such obligations shall be the capitalized amount thereof determined in accordance with GAAP.</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 (b) investments in commercial paper maturing within 270 days from the date of acquisition thereof and having, at such date of acquisition, the highest credit rating obtainable from a Credit Rating Agency; (c) 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 or any Lender or Affiliate thereof; (d) fully collateralized repurchase agreements with a term of not more than 30 days for securities described in clause (a) above and entered into with a financial institution satisfying the criteria described in clause (c) above; and (e) money market funds that (i) comply with the criteria set forth in SEC Rule 2a-7 under the Investment Company Act of 1940, (ii) are rated AAA and Aaa (or equivalent rating) by at least two Credit Rating Agencies and (iii) have portfolio assets of at least $5,000,000,000.</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Loan</w:t>
      </w:r>
      <w:r>
        <w:rPr>
          <w:rFonts w:ascii="Times New Roman" w:cs="Times New Roman" w:eastAsia="Times New Roman" w:hAnsi="Times New Roman"/>
          <w:sz w:val="20"/>
          <w:szCs w:val="20"/>
          <w:color w:val="auto"/>
        </w:rPr>
        <w:t>” means a Loan that bears interest at a rate determined by reference to the Central Bank Rate.</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Spread</w:t>
      </w:r>
      <w:r>
        <w:rPr>
          <w:rFonts w:ascii="Times New Roman" w:cs="Times New Roman" w:eastAsia="Times New Roman" w:hAnsi="Times New Roman"/>
          <w:sz w:val="20"/>
          <w:szCs w:val="20"/>
          <w:color w:val="auto"/>
        </w:rPr>
        <w:t>” means, with respect to a CBR Loan, the Applicable Rate applicable to the Loan that was replaced such CBR Loan pursuant to Section 2.08(e).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w:t>
      </w:r>
      <w:r>
        <w:rPr>
          <w:rFonts w:ascii="Times New Roman" w:cs="Times New Roman" w:eastAsia="Times New Roman" w:hAnsi="Times New Roman"/>
          <w:sz w:val="20"/>
          <w:szCs w:val="20"/>
          <w:color w:val="auto"/>
        </w:rPr>
        <w:t>” means, the greater of (a)(i) for any Loan denominated in (A) Pounds Sterling, the Bank of England (or any successor thereto)’s “Bank Rate” as published by the Bank of England (or any successor thereto) from time to time, (B) Canadian Dollars, the Canadian Prime Rate and (C) any other Foreign Currency determined after the Effective Date, a central bank rate as determined by the Administrative Agent in its reasonable discretion plus (ii) the applicable Central Bank Rate Adjustment and (b) the Floor.</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 Adjustment</w:t>
      </w:r>
      <w:r>
        <w:rPr>
          <w:rFonts w:ascii="Times New Roman" w:cs="Times New Roman" w:eastAsia="Times New Roman" w:hAnsi="Times New Roman"/>
          <w:sz w:val="20"/>
          <w:szCs w:val="20"/>
          <w:color w:val="auto"/>
        </w:rPr>
        <w:t>” means for any day, for any Loan denominated in (a) Pounds Sterling, a rate equal to the difference (which may be a positive or negative value or zero) of (i) the average of Adjusted Daily Simple RFR for Pounds Sterling Borrowings for the five most recent RFR Business Days preceding such day for which Adjusted Daily Simple RFR for Pounds Sterling Borrowings was available (excluding, from such averaging, the highest and the lowest such Adjusted Daily Simple RFR applicable during such period of five RFR Business Days) minus (ii) the Central Bank Rate in respect of Pounds Sterling in effect on the last RFR Business Day in such period, and (b) any other Foreign Currency determined after the Effective Date, a Central Bank Rate Adjustment as determined by the Administrative Agent in its reasonable discretion. For purposes of this definition, the term Central Bank Rate shall be determined disregarding clause (B) of the definition of such term.</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 the acquisition of ownership, directly or indirectly, beneficially or of record, by any Person or group (within the meaning of the Securities Exchange Act of 1934 and the rules of the SEC thereunder as in effect on the date hereof), other than Permitted Holders, of Equity Interests representing more than 35% of the aggregate ordinary voting power represented by the issued and outstanding Equity Interests of the Borrower; (b) occupation at any time of a majority of the seats (other than vacant seats) on the board of directors of the Borrower by Persons who were not (i) directors of the Borrower on the date of this Agreement or nominated or appointed by the board of directors of the Borrower or (ii) appointed by directors so nominated or appointed; or (c) the occurrence of a change in control, or other similar event, as defined in any agreement or instrument evidencing any Material Indebtedness of a Loan Party (triggering a default or mandatory prepayment, which default or mandatory prepayment has not been waived in writing).</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means the occurrence after the date of this Agreement (or, with respect to any Lender, such later date on which such Lender become a party to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rules,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and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has the meaning assigned to such term in Section 9.17.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 any Loan or Borrowing, refers to whether such Loan, or the Loans comprising such Borrowing, are Revolving Loans or Swingline Loans, (b) any Lender, refers to whether such Lender is a Global Lender or Non-Global Lender and (c) any Revolving Commitment, refers to whether such Revolving Commitment is a Global Revolving Commitment or a Non-Global Revolving Commitment.</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SOFR (or a successor administrator).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any and all property owned, leased or operated by a Person covered by the Collateral Documents and any and all other property of any Loan Party, now existing or hereafter acquired, that may at any time be, become or be intended to be, subject to a security interest or Lien in favor of the Administrative Agent, on behalf of itself and the other Secured Parties, to secure the Secured Obligations.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the Security Agreement, the Mortgages and Mortgage Instruments and all other agreements, instruments and documents executed or delivered by any Loan Party in connection with this Agreement that are intended to create or perfect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heretofore, now or hereafter executed by any Loan Party and delivered to the Administrative Agent.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means the Schedule attached hereto identified as such.</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has the meaning assigned to such term in Section 8.03(c).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of a Financial Officer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4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w:t>
      </w:r>
      <w:r>
        <w:rPr>
          <w:rFonts w:ascii="Times New Roman" w:cs="Times New Roman" w:eastAsia="Times New Roman" w:hAnsi="Times New Roman"/>
          <w:sz w:val="19"/>
          <w:szCs w:val="19"/>
          <w:color w:val="auto"/>
        </w:rPr>
        <w:t xml:space="preserve">” means, for any period, Consolidated Net Income for such period </w:t>
      </w:r>
      <w:r>
        <w:rPr>
          <w:rFonts w:ascii="Times New Roman" w:cs="Times New Roman" w:eastAsia="Times New Roman" w:hAnsi="Times New Roman"/>
          <w:sz w:val="19"/>
          <w:szCs w:val="19"/>
          <w:i w:val="1"/>
          <w:iCs w:val="1"/>
          <w:u w:val="single" w:color="auto"/>
          <w:color w:val="auto"/>
        </w:rPr>
        <w:t>plus</w:t>
      </w:r>
      <w:r>
        <w:rPr>
          <w:rFonts w:ascii="Times New Roman" w:cs="Times New Roman" w:eastAsia="Times New Roman" w:hAnsi="Times New Roman"/>
          <w:sz w:val="19"/>
          <w:szCs w:val="19"/>
          <w:color w:val="auto"/>
        </w:rPr>
        <w:t xml:space="preserve"> (a) without duplication and to the extent deducted in determining Consolidated Net Income for such period, the sum of (i) Consolidated Interest Expense for such period, (ii) tax expense based on income, profits or capital, including federal, foreign, state, franchise and similar taxes (and for the avoidance of doubt, specifically excluding any sales taxes or any other taxes held in trust for a Governmental Authority) for such period net of tax refunds for such taxes for such period, (iii) all amounts attributable to depreciation and amortization expense for such period, (iv) (A) any extraordinary, unusual or non-recurring non-cash charges, expenses or losses for such period (but excluding any non-cash charge in respect of an item that was included in Consolidated Net Income in a prior period) and (B) any extraordinary, unusual or non-recurring cash charges for such period (in each case of this clause (iv), “</w:t>
      </w:r>
      <w:r>
        <w:rPr>
          <w:rFonts w:ascii="Times New Roman" w:cs="Times New Roman" w:eastAsia="Times New Roman" w:hAnsi="Times New Roman"/>
          <w:sz w:val="19"/>
          <w:szCs w:val="19"/>
          <w:u w:val="single" w:color="auto"/>
          <w:color w:val="auto"/>
        </w:rPr>
        <w:t>Specified Cash Charges</w:t>
      </w:r>
      <w:r>
        <w:rPr>
          <w:rFonts w:ascii="Times New Roman" w:cs="Times New Roman" w:eastAsia="Times New Roman" w:hAnsi="Times New Roman"/>
          <w:sz w:val="19"/>
          <w:szCs w:val="19"/>
          <w:color w:val="auto"/>
        </w:rPr>
        <w:t>”), (v) all proceeds of business interruption insurance to the extent not already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included in Consolidated Net Income and actually received during such period, (vi) documented expenses, charges and fees in connection with any of the following which are attempted, whether or not consummated: (A) any Permitted Acquisition and any related debt or equity offering undertaken in connection therewith, (B) the issuance of Equity Interests, (C) any investments not prohibited under the Loan Documents, (D) the incurrence, refinancing, amendment or modification of any Indebtedness (including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amounts added back pursuant to this clause (vi) shall be limited to $10,000,000 for any transaction (or series of related transactions) that is not consummated, (vii) unrealized losses (net of gains) on financial derivatives, (viii) any write-off or amortization made in such period of deferred financing costs or any write-downs of intangible assets or intangible asset value carried on the balance sheet of the Borrower or any Subsidiary, (ix) losses from discontinued operations or product lines, (x) foreign currency translation losses (net of foreign currency translation gains), (xi) any restructuring charges incurred during such period (collectively, “</w:t>
      </w:r>
      <w:r>
        <w:rPr>
          <w:rFonts w:ascii="Times New Roman" w:cs="Times New Roman" w:eastAsia="Times New Roman" w:hAnsi="Times New Roman"/>
          <w:sz w:val="20"/>
          <w:szCs w:val="20"/>
          <w:u w:val="single" w:color="auto"/>
          <w:color w:val="auto"/>
        </w:rPr>
        <w:t>Restructuring Charges</w:t>
      </w:r>
      <w:r>
        <w:rPr>
          <w:rFonts w:ascii="Times New Roman" w:cs="Times New Roman" w:eastAsia="Times New Roman" w:hAnsi="Times New Roman"/>
          <w:sz w:val="20"/>
          <w:szCs w:val="20"/>
          <w:color w:val="auto"/>
        </w:rPr>
        <w:t>”), (xii) non-cash compensation expenses, including as a result of any grant of equity or options to employees, officers, directors or contractors, and (xiii) the amount of any expected “run rate” cost savings and cost synergies (collectively, “</w:t>
      </w:r>
      <w:r>
        <w:rPr>
          <w:rFonts w:ascii="Times New Roman" w:cs="Times New Roman" w:eastAsia="Times New Roman" w:hAnsi="Times New Roman"/>
          <w:sz w:val="20"/>
          <w:szCs w:val="20"/>
          <w:u w:val="single" w:color="auto"/>
          <w:color w:val="auto"/>
        </w:rPr>
        <w:t>Expected Cost Savings</w:t>
      </w:r>
      <w:r>
        <w:rPr>
          <w:rFonts w:ascii="Times New Roman" w:cs="Times New Roman" w:eastAsia="Times New Roman" w:hAnsi="Times New Roman"/>
          <w:sz w:val="20"/>
          <w:szCs w:val="20"/>
          <w:color w:val="auto"/>
        </w:rPr>
        <w:t xml:space="preserve">”) (net of actual amounts realized) that are reasonably identifiable, factually supportable and projected in the good faith determination of the Borrower related to any acquisition, disposition, restructuring or cost savings initiative, and reasonably anticipated to result from such 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Expected Cost Savings are expected by the Borrower in good faith to be realized within 18 months of the consummation of the event giving rise thereto as a result of specified actions taken or committed to be taken and (B) the aggregate amount of any Specified Cash Charges, Restructuring Charges and Expected Cost Savings shall not exceed 25% of Consolidated EBITDA for the relevant period (calculated prior to giving effect to such Specified Cash Charges, Restructuring Charges and Expected Cost Savings);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rPr>
        <w:t xml:space="preserve"> (b) without duplication and to the extent included in Consolidated Net Income, any extraordinary, unusual or non-recurring gains or other items of income for such period, all calculated for the Borrower and its Subsidiaries on a consolidated basis in accordance with GAAP.</w:t>
      </w:r>
    </w:p>
    <w:p>
      <w:pPr>
        <w:spacing w:after="0" w:line="19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Interest Expense</w:t>
      </w:r>
      <w:r>
        <w:rPr>
          <w:rFonts w:ascii="Times New Roman" w:cs="Times New Roman" w:eastAsia="Times New Roman" w:hAnsi="Times New Roman"/>
          <w:sz w:val="19"/>
          <w:szCs w:val="19"/>
          <w:color w:val="auto"/>
        </w:rPr>
        <w:t>” means, for any period, total interest expense (including that attributable to Capital Lease Obligations) of the Borrower and its Subsidiaries for such period with respect to all outstanding Indebtedness of the Borrower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for the Borrower and its Subsidiaries on a consolidated basis for such period in accordance with GAAP.</w:t>
      </w:r>
    </w:p>
    <w:p>
      <w:pPr>
        <w:spacing w:after="0" w:line="1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for any period, the consolidated net income (or loss) determined for the Borrower and its Subsidiaries,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the income (or deficit) of any Person (other than a Subsidiary) in which the Borrower or any Subsidiary has an ownership interest, except to the extent that any such income is actually received by the Borrower or such Subsidiary in the form of dividends or similar distributions.</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at any date, total assets of the Borrower and its Subsidiaries calculated in accordance with GAAP on a consolidated basis as of such date.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Indebtedness</w:t>
      </w:r>
      <w:r>
        <w:rPr>
          <w:rFonts w:ascii="Times New Roman" w:cs="Times New Roman" w:eastAsia="Times New Roman" w:hAnsi="Times New Roman"/>
          <w:sz w:val="20"/>
          <w:szCs w:val="20"/>
          <w:color w:val="auto"/>
        </w:rPr>
        <w:t>” means, at any date, the aggregate principal amount of total Indebtedness of the Borrower and its Subsidiaries on a consolidated basis, determined for the Borrower and its Subsidiaries on a consolidated basis at such date,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29" w:lineRule="exact"/>
        <w:rPr>
          <w:sz w:val="20"/>
          <w:szCs w:val="20"/>
          <w:color w:val="auto"/>
        </w:rPr>
      </w:pPr>
    </w:p>
    <w:p>
      <w:pPr>
        <w:ind w:left="1040" w:hanging="384"/>
        <w:spacing w:after="0"/>
        <w:tabs>
          <w:tab w:leader="none" w:pos="10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29" w:lineRule="exact"/>
        <w:rPr>
          <w:rFonts w:ascii="Times New Roman" w:cs="Times New Roman" w:eastAsia="Times New Roman" w:hAnsi="Times New Roman"/>
          <w:sz w:val="20"/>
          <w:szCs w:val="20"/>
          <w:color w:val="auto"/>
        </w:rPr>
      </w:pPr>
    </w:p>
    <w:p>
      <w:pPr>
        <w:ind w:left="660" w:right="2200" w:hanging="4"/>
        <w:spacing w:after="0" w:line="471" w:lineRule="auto"/>
        <w:tabs>
          <w:tab w:leader="none" w:pos="115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has the meaning assigned to it in Section 9.21.</w:t>
      </w:r>
    </w:p>
    <w:p>
      <w:pPr>
        <w:spacing w:after="0" w:line="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means a Borrowing, the issuance, amendment, renewal or extension of a Letter of Credit, an LC Disbursement or any of the foregoing.</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the Issuing Bank, the Swingline Lender or any other Lender.</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Rating Agency</w:t>
      </w:r>
      <w:r>
        <w:rPr>
          <w:rFonts w:ascii="Times New Roman" w:cs="Times New Roman" w:eastAsia="Times New Roman" w:hAnsi="Times New Roman"/>
          <w:sz w:val="20"/>
          <w:szCs w:val="20"/>
          <w:color w:val="auto"/>
        </w:rPr>
        <w:t>” means a nationally recognized credit rating agency that evaluates the financial condition of issuers of debt instruments and then assigns a rating that reflects its assessment of the issuer’s ability to make debt payments.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RFR</w:t>
      </w:r>
      <w:r>
        <w:rPr>
          <w:rFonts w:ascii="Times New Roman" w:cs="Times New Roman" w:eastAsia="Times New Roman" w:hAnsi="Times New Roman"/>
          <w:sz w:val="20"/>
          <w:szCs w:val="20"/>
          <w:color w:val="auto"/>
        </w:rPr>
        <w:t>” means, for any day (an “</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an interest rate per annum equal to, for any RFR Loan denominated in (i) Pounds Sterling, SONIA for the day that is 5 RFR Business Days prior to (A) if such RFR Interest Day is an RFR Business Day, such RFR Interest Day or (B) if such RFR Interest Day is not an RFR Business Day, the RFR Business Day immediately preceding such RFR Interest Day, and (ii) Dollars, Daily Simple SOFR (x) at all times, with respect to any Swingline Loan that is an RFR Loan, and (y) with respect to any other RFR Loan, solely following a Benchmark Transition Event and Benchmark Replacement Date with respect to the Term SOFR Rate.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a rate per annum equal to SOFR for the day (such day “</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SONIA</w:t>
      </w:r>
      <w:r>
        <w:rPr>
          <w:rFonts w:ascii="Times New Roman" w:cs="Times New Roman" w:eastAsia="Times New Roman" w:hAnsi="Times New Roman"/>
          <w:sz w:val="20"/>
          <w:szCs w:val="20"/>
          <w:color w:val="auto"/>
        </w:rPr>
        <w:t>” means, for any day, SONIA, with the conventions for this rate (which may include a lookback) being established by the Administrative Agent in accordance with the conventions for this rate selected or recommended by the Relevant Governmental Body for determining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“Daily Simple SONIA” for business loans or conventions that are otherwise used in the United States syndicated lending market for syndicated loans denominated in Pounds Sterling; provided that, if the Administrative Agent decides that any such convention is not administratively feasible for the Administrative Agent, then the Administrative Agent may establish another convention in its reasonable discretion.</w:t>
      </w:r>
    </w:p>
    <w:p>
      <w:pPr>
        <w:spacing w:after="0" w:line="17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Obligations</w:t>
      </w:r>
      <w:r>
        <w:rPr>
          <w:rFonts w:ascii="Times New Roman" w:cs="Times New Roman" w:eastAsia="Times New Roman" w:hAnsi="Times New Roman"/>
          <w:sz w:val="19"/>
          <w:szCs w:val="19"/>
          <w:color w:val="auto"/>
        </w:rPr>
        <w:t>” means all obligations of the Borrower with respect to (a) principal of and interest on the Revolving Loans,</w:t>
      </w:r>
    </w:p>
    <w:p>
      <w:pPr>
        <w:spacing w:after="0" w:line="40" w:lineRule="exact"/>
        <w:rPr>
          <w:sz w:val="20"/>
          <w:szCs w:val="20"/>
          <w:color w:val="auto"/>
        </w:rPr>
      </w:pPr>
    </w:p>
    <w:p>
      <w:pPr>
        <w:ind w:firstLine="8"/>
        <w:spacing w:after="0" w:line="253" w:lineRule="auto"/>
        <w:tabs>
          <w:tab w:leader="none" w:pos="29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principal of and interest on the Swingline Loans, (c) unreimbursed LC Disbursements and interest thereon and (d) all commitment fees and Letter of Credit participation fees.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20"/>
          <w:szCs w:val="20"/>
          <w:u w:val="single" w:color="auto"/>
          <w:color w:val="auto"/>
        </w:rPr>
        <w:t>Disposed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Disposing</w:t>
      </w:r>
      <w:r>
        <w:rPr>
          <w:rFonts w:ascii="Times New Roman" w:cs="Times New Roman" w:eastAsia="Times New Roman" w:hAnsi="Times New Roman"/>
          <w:sz w:val="20"/>
          <w:szCs w:val="20"/>
          <w:color w:val="auto"/>
        </w:rPr>
        <w:t>” shall have correlative meanings.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Amount</w:t>
      </w:r>
      <w:r>
        <w:rPr>
          <w:rFonts w:ascii="Times New Roman" w:cs="Times New Roman" w:eastAsia="Times New Roman" w:hAnsi="Times New Roman"/>
          <w:sz w:val="20"/>
          <w:szCs w:val="20"/>
          <w:color w:val="auto"/>
        </w:rPr>
        <w:t>” means, for any amount, at the time of determination thereof, (a) if such amount is expressed in Dollars, such amount, (b) if such amount is expressed in a Foreign Currency, the equivalent of such amount in Dollars determined by using the rate of exchange for the purchase of Dollars with the Foreign Currency last provided (either by publication or otherwise provided to the Administrative Agent) by Reuters on the Business Day (New York City time) immediately preceding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reasonably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 Subsidiary organized under the laws of a jurisdiction located in the United States of America.</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ECP</w:t>
      </w:r>
      <w:r>
        <w:rPr>
          <w:rFonts w:ascii="Times New Roman" w:cs="Times New Roman" w:eastAsia="Times New Roman" w:hAnsi="Times New Roman"/>
          <w:sz w:val="20"/>
          <w:szCs w:val="20"/>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EDGAR</w:t>
      </w:r>
      <w:r>
        <w:rPr>
          <w:rFonts w:ascii="Times New Roman" w:cs="Times New Roman" w:eastAsia="Times New Roman" w:hAnsi="Times New Roman"/>
          <w:sz w:val="20"/>
          <w:szCs w:val="20"/>
          <w:color w:val="auto"/>
        </w:rPr>
        <w:t>” means the SEC’s Electronic Data Gathering, Analysis and Retrieval system.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means the date on which the conditions specified in Section 4.01 are satisfied (or waived in accordance with Section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9.02).</w:t>
      </w:r>
    </w:p>
    <w:p>
      <w:pPr>
        <w:spacing w:after="0" w:line="20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7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System</w:t>
      </w:r>
      <w:r>
        <w:rPr>
          <w:rFonts w:ascii="Times New Roman" w:cs="Times New Roman" w:eastAsia="Times New Roman" w:hAnsi="Times New Roman"/>
          <w:sz w:val="19"/>
          <w:szCs w:val="19"/>
          <w:color w:val="auto"/>
        </w:rPr>
        <w:t>” means any electronic system, including e-mail, e-fax, web portal access for the Borrower and any other Internet or extranet-based site, whether such electronic system is owned, operated or hosted by the Administrative Agent or the Issuing Bank and any of its respective Related Parties or any other Person, providing for access to data protected by passcodes or other security system.</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rules, regulations, codes, ordinances, orders, decrees, judgments, injunctions, notices or binding agreements issued, promulgated or entered into by any Governmental Authority, relating in any way to (a) the environment,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preservation or reclamation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natural resources, (c) the management, Release or threatened Release of any Hazardous Material or (d) health and safety matters.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Equivalent Amount</w:t>
      </w:r>
      <w:r>
        <w:rPr>
          <w:rFonts w:ascii="Times New Roman" w:cs="Times New Roman" w:eastAsia="Times New Roman" w:hAnsi="Times New Roman"/>
          <w:sz w:val="20"/>
          <w:szCs w:val="20"/>
          <w:color w:val="auto"/>
        </w:rPr>
        <w:t>” means, for any amount of any Foreign Currency, at the time of determination thereof, (a) if such amount is expressed in such Foreign Currency, such amount and (b) if such amount is expressed in Dollars, the equivalent of such amount in such Foreign Currency determined by using the rate of exchange for the purchase of such Foreign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Foreign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spacing w:after="0" w:line="17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 and the rules and regulations promulgated thereunder.</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ERISA Affiliate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ERISA Affiliate of any liability with respect to the withdrawal or partial withdrawal of the Borrower or any ERISA Affiliate from any Plan or Multiemployer Plan; or (g) the receipt by the Borrower or any ERISA Affiliate of any notice, or the receipt by any Multiemployer Plan from the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ERISA Affiliate of any notice, concerning the imposition upon the Borrower or any ERISA Affiliate of Withdrawal Liability or a determination that a Multiemployer Plan is, or is expected to be, insolvent or in critical status, within the meaning of Title IV of ERISA.</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Payment Office</w:t>
      </w:r>
      <w:r>
        <w:rPr>
          <w:rFonts w:ascii="Times New Roman" w:cs="Times New Roman" w:eastAsia="Times New Roman" w:hAnsi="Times New Roman"/>
          <w:sz w:val="20"/>
          <w:szCs w:val="20"/>
          <w:color w:val="auto"/>
        </w:rPr>
        <w:t>” of the Administrative Agent means, for each Foreign Currency, the office, branch, affiliate or correspondent bank of the Administrative Agent for such currency as specified from time to time by the Administrative Agent to the Borrower and each Lender.</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has the meaning assigned to such term in Article VII.</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Rate</w:t>
      </w:r>
      <w:r>
        <w:rPr>
          <w:rFonts w:ascii="Times New Roman" w:cs="Times New Roman" w:eastAsia="Times New Roman" w:hAnsi="Times New Roman"/>
          <w:sz w:val="20"/>
          <w:szCs w:val="20"/>
          <w:color w:val="auto"/>
        </w:rPr>
        <w:t>” means, for any Foreign Currency, the rate of exchange therefor as described in clause (b) of the definition of “Dollar Amount”.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Property</w:t>
      </w:r>
      <w:r>
        <w:rPr>
          <w:rFonts w:ascii="Times New Roman" w:cs="Times New Roman" w:eastAsia="Times New Roman" w:hAnsi="Times New Roman"/>
          <w:sz w:val="20"/>
          <w:szCs w:val="20"/>
          <w:color w:val="auto"/>
        </w:rPr>
        <w:t>” has the meaning assigned to such term in the Security Agreement.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Guarantor, any Swap Obligation if, and to the extent that, all or a portion of the Guarantee of such Loan Guarantor of, or the grant by such Loan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ECP at the time the Guarantee of such Loan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Revolving Commitment pursuant to a law in effect on the date on which (i) such Lender acquires such interest in the Loan, Letter of Credit or Revolving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Revolving Commitment or to such Lender immediately before it changed its lending office, (c) Taxes attributable to such Recipient’s failure to comply with Section 2.17(f) and (d) any withholding Taxes imposed under FATCA.</w:t>
      </w:r>
    </w:p>
    <w:p>
      <w:pPr>
        <w:spacing w:after="0" w:line="17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Factoring Assets</w:t>
      </w:r>
      <w:r>
        <w:rPr>
          <w:rFonts w:ascii="Times New Roman" w:cs="Times New Roman" w:eastAsia="Times New Roman" w:hAnsi="Times New Roman"/>
          <w:sz w:val="20"/>
          <w:szCs w:val="20"/>
          <w:color w:val="auto"/>
        </w:rPr>
        <w:t>” means (a) Accounts that are sold, transferred or disposed of in a Permitted Factoring Transaction, (b) collections and proceeds of Accounts referred to in the previous clause (a), (c) lockboxes, lockbox accounts, collection accounts or other deposit accounts substantially all of the deposits of which consist of such collections and proceeds referred to in the previous clause (b) and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have been identified and consented to by the Administrative Agent and (d) rights and payments which relate solely to the Accounts referred to in the previous clause (a).</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Effective Rate as so determined would be less than zero, such rate shall be deemed to be zero for the purposes of this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principal accounting officer, treasurer or controller of the Borrower.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has the meaning assigned to such term in Section 5.01.</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Laws</w:t>
      </w:r>
      <w:r>
        <w:rPr>
          <w:rFonts w:ascii="Times New Roman" w:cs="Times New Roman" w:eastAsia="Times New Roman" w:hAnsi="Times New Roman"/>
          <w:sz w:val="20"/>
          <w:szCs w:val="20"/>
          <w:color w:val="auto"/>
        </w:rPr>
        <w:t>” has the meaning assigned to such term in Section 8.10.</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the benchmark rate floor, if any, provided in this Agreement initially (as of the execution of this Agreement, the modification, amendment or renewal of this Agreement or otherwise) with respect to the Adjusted Term SOFR Rate, Adjusted Daily Simple SOFR, Adjusted AUD Rate, AUD Rate, AUD Interpolated Rate, Adjusted NZD Rate, NZD Rate, NZD Interpolated Rate, the Adjusted Daily Simple SONIA Rate, Daily Simple SONIA or the Central Bank Rate. For the avoidance of doubt, the Floor as of the Effective Date with respect to the Adjusted Term SOFR Rate, Adjusted Daily Simple SOFR, Adjusted AUD Rate, AUD Rate, AUD Interpolated Rate, Adjusted NZD Rate, NZD Rate, NZD Interpolated Rate, the Adjusted Daily Simple SONIA Rate, Daily Simple SONIA and the Central Bank Rate shall be zero percent (0.00%).</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w:t>
      </w:r>
      <w:r>
        <w:rPr>
          <w:rFonts w:ascii="Times New Roman" w:cs="Times New Roman" w:eastAsia="Times New Roman" w:hAnsi="Times New Roman"/>
          <w:sz w:val="20"/>
          <w:szCs w:val="20"/>
          <w:color w:val="auto"/>
        </w:rPr>
        <w:t xml:space="preserve">” means (i) Australian Dollars, (ii) New Zealand Dollars, (iii) Canadian Dollars, (iv) Pounds Sterling and (v) any additional currencies determined after the Effective Date by mutual agreement of the Borrower, each Global Lender, the Issuing Bank and the Administrative Agent (or, solely in the case of any Letter of Credit, solely by mutual agreement of the Borrower, the Issuing Bank and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such currency is a lawful currency that is readily available, freely transferable and not restricted and able to be converted into Dollars.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Exposure</w:t>
      </w:r>
      <w:r>
        <w:rPr>
          <w:rFonts w:ascii="Times New Roman" w:cs="Times New Roman" w:eastAsia="Times New Roman" w:hAnsi="Times New Roman"/>
          <w:sz w:val="20"/>
          <w:szCs w:val="20"/>
          <w:color w:val="auto"/>
        </w:rPr>
        <w:t>” has the meaning assigned to such term in Section 2.11(b).</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Sublimit</w:t>
      </w:r>
      <w:r>
        <w:rPr>
          <w:rFonts w:ascii="Times New Roman" w:cs="Times New Roman" w:eastAsia="Times New Roman" w:hAnsi="Times New Roman"/>
          <w:sz w:val="20"/>
          <w:szCs w:val="20"/>
          <w:color w:val="auto"/>
        </w:rPr>
        <w:t>” means an amount equal to the lesser of (a) $30,000,000 and (b) the total amount of the Global Revolving Commitments. The Foreign Currency Sublimit is part of, and not in addition to, the Global Revolving Commitments and Revolving Commitments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which is not a Domestic Subsidiary.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has the meaning assigned to such term in Section 4.01(h).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Lender</w:t>
      </w:r>
      <w:r>
        <w:rPr>
          <w:rFonts w:ascii="Times New Roman" w:cs="Times New Roman" w:eastAsia="Times New Roman" w:hAnsi="Times New Roman"/>
          <w:sz w:val="20"/>
          <w:szCs w:val="20"/>
          <w:color w:val="auto"/>
        </w:rPr>
        <w:t>” means, as of any date of determination, a Lender with a Global Revolving Commitment or, if the Global Revolving Commitments have terminated or expired, a Lender with Revolving Exposure in respect of such Class or otherwise denominated in any Foreign Currency.</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Revolving Commitment</w:t>
      </w:r>
      <w:r>
        <w:rPr>
          <w:rFonts w:ascii="Times New Roman" w:cs="Times New Roman" w:eastAsia="Times New Roman" w:hAnsi="Times New Roman"/>
          <w:sz w:val="20"/>
          <w:szCs w:val="20"/>
          <w:color w:val="auto"/>
        </w:rPr>
        <w:t xml:space="preserve">” means, with respect to each Lender, the commitment, if any, of such Lender to make Revolving Loans denominated in Foreign Currencies and to acquire participations in Letters of Credit denominated in Foreign Currencies and participations in Swingline Loans hereunder, expressed as an amount representing the maximum aggregate permitted amount of such Lender’s Revolving Exposure hereunder, as such commitment (a) may be reduced or increased from time to time pursuant to (i) Section 2.09 and (ii) assignments by or to such Lender pursuant to Section 9.04, or (b) may be assumed pursuant to Section 1.11. The initial amount of each Lender’s Global Revolving Commitment is set forth opposite such Lender’s name as its “Global Revolving Commitment”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or in the Assignment and Assumption or other documentation or record (as such term is defined in Section 9-102(a)</w:t>
      </w:r>
    </w:p>
    <w:p>
      <w:pPr>
        <w:spacing w:after="0" w:line="6" w:lineRule="exact"/>
        <w:rPr>
          <w:sz w:val="20"/>
          <w:szCs w:val="20"/>
          <w:color w:val="auto"/>
        </w:rPr>
      </w:pPr>
    </w:p>
    <w:p>
      <w:pPr>
        <w:ind w:firstLine="8"/>
        <w:spacing w:after="0" w:line="253" w:lineRule="auto"/>
        <w:tabs>
          <w:tab w:leader="none" w:pos="40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UCC) as provided in Section 1.11 or Section 9.04 pursuant to which such Lender shall have assumed its Global Revolving Commitment, as applicable.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w:t>
      </w:r>
      <w:r>
        <w:rPr>
          <w:rFonts w:ascii="Times New Roman" w:cs="Times New Roman" w:eastAsia="Times New Roman" w:hAnsi="Times New Roman"/>
          <w:sz w:val="20"/>
          <w:szCs w:val="20"/>
          <w:u w:val="single" w:color="auto"/>
          <w:color w:val="auto"/>
        </w:rPr>
        <w:t>Guaranteed</w:t>
      </w:r>
      <w:r>
        <w:rPr>
          <w:rFonts w:ascii="Times New Roman" w:cs="Times New Roman" w:eastAsia="Times New Roman" w:hAnsi="Times New Roman"/>
          <w:sz w:val="20"/>
          <w:szCs w:val="20"/>
          <w:color w:val="auto"/>
        </w:rPr>
        <w:t>” shall have correlative meaning.</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means (i) with respect to the Borrower, the Specified Ancillary Obligations and (ii) with respect to any Subsidiary Guarantor, the Secured Obligations, and,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all costs and expenses including, without limitation, all court costs and reasonable attorneys’ and paralegals’ fees (including allocated costs of in-house counsel and paralegals) and expenses paid or incurred by the Administrative Agent, the Issuing Bank and the Lenders in endeavoring to collect all or any part of the Secured Obligations from, or in prosecuting any action against, the Borrower, any Loan Guarantor or any other guarantor of all or any part of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Hostile Acquisition</w:t>
      </w:r>
      <w:r>
        <w:rPr>
          <w:rFonts w:ascii="Times New Roman" w:cs="Times New Roman" w:eastAsia="Times New Roman" w:hAnsi="Times New Roman"/>
          <w:sz w:val="20"/>
          <w:szCs w:val="20"/>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Impacted AUD Rate Interest Period</w:t>
      </w:r>
      <w:r>
        <w:rPr>
          <w:rFonts w:ascii="Times New Roman" w:cs="Times New Roman" w:eastAsia="Times New Roman" w:hAnsi="Times New Roman"/>
          <w:sz w:val="20"/>
          <w:szCs w:val="20"/>
          <w:color w:val="auto"/>
        </w:rPr>
        <w:t>” has the meaning assigned to such term in the definition of “AUD Rate.”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Impacted NZD Rate Interest Period</w:t>
      </w:r>
      <w:r>
        <w:rPr>
          <w:rFonts w:ascii="Times New Roman" w:cs="Times New Roman" w:eastAsia="Times New Roman" w:hAnsi="Times New Roman"/>
          <w:sz w:val="20"/>
          <w:szCs w:val="20"/>
          <w:color w:val="auto"/>
        </w:rPr>
        <w:t>” has the meaning assigned to such term in the definition of “NZD Rate.”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has the meaning assigned to such term in Section 2.09.</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has the meaning assigned to such term in Section 2.09.</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means, without duplication, (a) all obligations of such Person for borrowed money, (b) all obligations of such Person evidenced by bonds, debentures, notes or similar instruments, (c) [reserved],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any Lien on property owned or acquired by such Person, whether or not the Indebtedness secured thereby has been assumed (which for all purposes of this Agreement shall be valued at the lesser of (x) the principal amount of the obligations secured and (y) the fair market value of the encumbered property),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obligations under any earn-out (which for all purposes of this Agreement shall be valued at the maximum potential amount payable with respect to each such earn-out), (l) any other Off-Balance Sheet Liability and (m)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(which for all purposes of this Agreement shall be valued at the termination value of the Swap).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has the meaning assigned to such term in Section 9.03(c).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has the meaning assigned to such term in Section 9.04(b).</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has the meaning assigned to such term in Section 9.12.</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Subordination Agreement</w:t>
      </w:r>
      <w:r>
        <w:rPr>
          <w:rFonts w:ascii="Times New Roman" w:cs="Times New Roman" w:eastAsia="Times New Roman" w:hAnsi="Times New Roman"/>
          <w:sz w:val="20"/>
          <w:szCs w:val="20"/>
          <w:color w:val="auto"/>
        </w:rPr>
        <w:t>” means any Intercompany Subordination Agreement entered into among the Loan Parties and Subsidiaries listed on the signature pages thereof, or that execute joinders thereto, in favor of the Administrative Agent.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means, for any period, the ratio of (a) Consolidated EBITDA for such period to (b) cash Consolidated Interest Expense for such period.</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xml:space="preserve">” means a request by the Borrower to convert or continue a Borrowing in accordance with Section 2.08, which shall be substantially in the form attached as </w:t>
      </w:r>
      <w:r>
        <w:rPr>
          <w:rFonts w:ascii="Times New Roman" w:cs="Times New Roman" w:eastAsia="Times New Roman" w:hAnsi="Times New Roman"/>
          <w:sz w:val="20"/>
          <w:szCs w:val="20"/>
          <w:u w:val="single" w:color="auto"/>
          <w:color w:val="auto"/>
        </w:rPr>
        <w:t>Exhibit C-2</w:t>
      </w:r>
      <w:r>
        <w:rPr>
          <w:rFonts w:ascii="Times New Roman" w:cs="Times New Roman" w:eastAsia="Times New Roman" w:hAnsi="Times New Roman"/>
          <w:sz w:val="20"/>
          <w:szCs w:val="20"/>
          <w:color w:val="auto"/>
        </w:rPr>
        <w:t xml:space="preserve"> hereto or any other form approved by the Administrative Agent.</w:t>
      </w:r>
    </w:p>
    <w:p>
      <w:pPr>
        <w:spacing w:after="0" w:line="14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with respect to any ABR Loan (other than a Swingline Loan) or any CBR Loan, the first day of each calendar quarter and the Revolving Credit Maturity Date, (b)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Revolving Credit Maturity Date, (c) with respect to any RFR Loan (other than a Swingline Loan),</w:t>
      </w:r>
    </w:p>
    <w:p>
      <w:pPr>
        <w:spacing w:after="0" w:line="4" w:lineRule="exact"/>
        <w:rPr>
          <w:sz w:val="20"/>
          <w:szCs w:val="20"/>
          <w:color w:val="auto"/>
        </w:rPr>
      </w:pPr>
    </w:p>
    <w:p>
      <w:pPr>
        <w:jc w:val="both"/>
        <w:ind w:firstLine="8"/>
        <w:spacing w:after="0" w:line="249" w:lineRule="auto"/>
        <w:tabs>
          <w:tab w:leader="none" w:pos="28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date that is on the numerically corresponding day in each calendar month that is one month after the Borrowing of such Loan (or, if there is no such numerically corresponding day in such month, then the last day of such month) and (2) the Revolving Credit Maturity Date, and (d) with respect to any Swingline Loan, the day that such Loan is required to be repaid and the Revolving Credit Maturity Date.</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Revolving Commitment for any Agreed Currency), as the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in the case of any Borrowing other than a Swingline Loan, shall be the effective date of the most recent conversion or continuation of such Borrowing.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Inventory</w:t>
      </w:r>
      <w:r>
        <w:rPr>
          <w:rFonts w:ascii="Times New Roman" w:cs="Times New Roman" w:eastAsia="Times New Roman" w:hAnsi="Times New Roman"/>
          <w:sz w:val="20"/>
          <w:szCs w:val="20"/>
          <w:color w:val="auto"/>
        </w:rPr>
        <w:t>” has the meaning assigned to such term in the Security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has the meaning assigned to such term in Section 6.04.</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Interpolated Rate</w:t>
      </w:r>
      <w:r>
        <w:rPr>
          <w:rFonts w:ascii="Times New Roman" w:cs="Times New Roman" w:eastAsia="Times New Roman" w:hAnsi="Times New Roman"/>
          <w:sz w:val="20"/>
          <w:szCs w:val="20"/>
          <w:color w:val="auto"/>
        </w:rPr>
        <w:t>” means, with respect to (a) any Term Benchmark Borrowing denominated in Australian Dollars, the AUD Interpolated Rate, and (b) any Term Benchmark Borrowing denominated in New Zealand Dollars, the NZD Interpolated Rate.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means, individually and collectively, each of Bank of Montreal, in its capacity as the issuer of Letters of Credit hereunder, and any other Lender from time to time designated by the Borrower as an Issuing Bank, with the consent of such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8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Bank Sublimit</w:t>
      </w:r>
      <w:r>
        <w:rPr>
          <w:rFonts w:ascii="Times New Roman" w:cs="Times New Roman" w:eastAsia="Times New Roman" w:hAnsi="Times New Roman"/>
          <w:sz w:val="19"/>
          <w:szCs w:val="19"/>
          <w:color w:val="auto"/>
        </w:rPr>
        <w:t xml:space="preserve">” means, as of the Effective Date, (i) $35,000,000, in the case of Bank of Montreal and (ii) in the case of any other Issuing Bank, such amount as shall be designated to the Administrative Agent and the Borrower in writing by such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any Issuing Bank (other than Bank of Montreal) shall be permitted at any time to increase or reduce its Issuing Bank Sublimit upon providing five (5) days’ prior written notice thereof to the Administrative Agent and the Borrower, (b) no reduction shall affect any outstanding Letter of Credit issued by such Issuing Bank and (c) the aggregate Issuing Bank Sublimit of all the Issuing Banks shall at all times be equal to the “</w:t>
      </w:r>
      <w:r>
        <w:rPr>
          <w:rFonts w:ascii="Times New Roman" w:cs="Times New Roman" w:eastAsia="Times New Roman" w:hAnsi="Times New Roman"/>
          <w:sz w:val="19"/>
          <w:szCs w:val="19"/>
          <w:u w:val="single" w:color="auto"/>
          <w:color w:val="auto"/>
        </w:rPr>
        <w:t>Overall LC Sublimit</w:t>
      </w:r>
      <w:r>
        <w:rPr>
          <w:rFonts w:ascii="Times New Roman" w:cs="Times New Roman" w:eastAsia="Times New Roman" w:hAnsi="Times New Roman"/>
          <w:sz w:val="19"/>
          <w:szCs w:val="19"/>
          <w:color w:val="auto"/>
        </w:rPr>
        <w:t>”, it being understood (A) that any Issuing Bank Sublimit of any Issuing Bank other than Bank of Montreal shall reduce Bank of Montreal’s Issuing Bank Sublimit in an amount equal to the amount necessary to comply with clause (c), and</w:t>
      </w:r>
    </w:p>
    <w:p>
      <w:pPr>
        <w:ind w:firstLine="8"/>
        <w:spacing w:after="0" w:line="260" w:lineRule="auto"/>
        <w:tabs>
          <w:tab w:leader="none" w:pos="33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reduction of the Issuing Bank Sublimit of any Issuing Bank other than Bank of Montreal shall result in an increase of Bank of Montreal’s Issuing Bank Sublimit in an amount necessary to comply with clause (c).</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in substantially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has the meaning assigned to such term in Section 2.06(j).</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any payment made by an Issuing Bank pursuant to a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Exposure</w:t>
      </w:r>
      <w:r>
        <w:rPr>
          <w:rFonts w:ascii="Times New Roman" w:cs="Times New Roman" w:eastAsia="Times New Roman" w:hAnsi="Times New Roman"/>
          <w:sz w:val="19"/>
          <w:szCs w:val="19"/>
          <w:color w:val="auto"/>
        </w:rPr>
        <w:t xml:space="preserve">” means at any time, the sum of (a) the aggregate undrawn amount of all outstanding Letters of Credit at such time </w:t>
      </w:r>
      <w:r>
        <w:rPr>
          <w:rFonts w:ascii="Times New Roman" w:cs="Times New Roman" w:eastAsia="Times New Roman" w:hAnsi="Times New Roman"/>
          <w:sz w:val="19"/>
          <w:szCs w:val="19"/>
          <w:i w:val="1"/>
          <w:iCs w:val="1"/>
          <w:u w:val="single" w:color="auto"/>
          <w:color w:val="auto"/>
        </w:rPr>
        <w:t>plus</w:t>
      </w:r>
    </w:p>
    <w:p>
      <w:pPr>
        <w:spacing w:after="0" w:line="44" w:lineRule="exact"/>
        <w:rPr>
          <w:sz w:val="20"/>
          <w:szCs w:val="20"/>
          <w:color w:val="auto"/>
        </w:rPr>
      </w:pPr>
    </w:p>
    <w:p>
      <w:pPr>
        <w:ind w:right="20" w:firstLine="8"/>
        <w:spacing w:after="0" w:line="253" w:lineRule="auto"/>
        <w:tabs>
          <w:tab w:leader="none" w:pos="29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LC Disbursements that have not yet been reimbursed by or on behalf of the Borrower at such time. The LC Exposure of any Lender at any time shall be its Applicable Percentage of the aggregate LC Exposure at such time.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xml:space="preserve">” means, as of any date of determination, a Person listed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(or, if the Revolving Commitments have terminated or expired, a Person holding Revolving Exposure), and any other Person that shall have become a Lender hereunder pursuant to Section 2.09 or an Assignment and Assumption or other documentation contemplated hereby, other than any such Person that ceases to be a Lender hereunder pursuant to an Assignment and Assumption or other documentation contemplated hereby. Unless the context otherwise requires, the term “Lenders” includes the Swingline Lender and the Issuing Bank.</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has the meaning assigned to such term in Section 9.03(b).</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has the meaning assigned to it in Section 2.06(b).</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means the letters of credit issued pursuant to this Agreement, and the term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one of them or each of them singularly, as the context may require.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any losses, claims (including intraparty claims), demands, damages or liabilities of any kind.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7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means, collectively, this Agreement, each promissory note issued pursuant to this Agreement, each Letter of Credit Agreement, each Collateral Document, each Compliance Certificate, the Loan Guaranty, any Intercompany Subordination Agreement and each other agreement, fee letter, instrument, document and certificate executed by or on behalf of any Loan Party and delivered to, or in favor of, the Administrative Agent or any Lender and including each other pledge, power of attorney, consent, assignment, contract, notice, letter of credit agreement, letter of credit applications and any agreements between the Borrower and the Issuing Bank regarding the Issuing Bank’s Issuing Bank Sublimit or the respective rights and obligations between the Borrower and the Issuing Bank in connection with the issuance of Letters of Credit, and each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Guarantor</w:t>
      </w:r>
      <w:r>
        <w:rPr>
          <w:rFonts w:ascii="Times New Roman" w:cs="Times New Roman" w:eastAsia="Times New Roman" w:hAnsi="Times New Roman"/>
          <w:sz w:val="20"/>
          <w:szCs w:val="20"/>
          <w:color w:val="auto"/>
        </w:rPr>
        <w:t>” means each Loan Party.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Guaranty</w:t>
      </w:r>
      <w:r>
        <w:rPr>
          <w:rFonts w:ascii="Times New Roman" w:cs="Times New Roman" w:eastAsia="Times New Roman" w:hAnsi="Times New Roman"/>
          <w:sz w:val="20"/>
          <w:szCs w:val="20"/>
          <w:color w:val="auto"/>
        </w:rPr>
        <w:t>” means Article X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8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Borrower and the Subsidiary Guarantors and their successors and assigns, and the term “Loan Party” shall mean any one of them or all of them individually, as the context may require.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means the loans and advances made by the Lenders to the Borrower pursuant to this Agreement, including Swingline Loans.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means margin stock within the meaning of Regulations T, U and X, as applicable.</w:t>
      </w:r>
    </w:p>
    <w:p>
      <w:pPr>
        <w:spacing w:after="0" w:line="21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means a material adverse effect on (a) the business, assets, operations or condition, financial or otherwise, of the Borrower and its Subsidiaries taken as a whole, (b) the ability of any Loan Party to perform any of its Obligations, (c) the Collateral, or the Administrative Agent’s Liens (on behalf of itself and the other Secured Parties) on the Collateral or the priority of such Liens, or (d) the rights of or benefits available to the Administrative Agent, the Issuing Bank or the Lenders under any of the Loan Documents.</w:t>
      </w:r>
    </w:p>
    <w:p>
      <w:pPr>
        <w:spacing w:after="0" w:line="170"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xml:space="preserve">” means each Subsidiary (i) which, as of the most recent fiscal quarter of the Borrower, for the period of four consecutive fiscal quarters then ended, for which financial statements have been delivered pursuant to Section 5.01(a) or (b) (or, if prior to the date of the delivery of the first financial statements to be delivered pursuant to Section 5.01(a) or (b), the most recent financial statements referred to in Section 3.04(a)), contributed greater than five percent (5%) of Consolidated EBITDA for such period, (ii) which constituted greater than five percent (5%) of Consolidated Total Assets as of such date or (iii) which is an obligor with respect to Material Indebtedness of a Loan Party (whether as a primary obligor, guarantor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any time the aggregate amount of Consolidated EBITDA or Consolidated Total Assets attributable to all Subsidiaries that are not Material Subsidiaries exceeds ten percent (10%) of Consolidated EBITDA for any such period or ten percent (10%) of Consolidated Total Assets as of the end of any such fiscal quarter, the Borrower (or, in the event the Borrower has failed to do so within thirty (30) days, the Administrative Agent) shall designate sufficient Subsidiaries as “Material Subsidiaries” to eliminate such excess, and such designated Subsidiaries shall for all purposes of this Agreement constitute Material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Borrower may change such designations from time to time so long as the Borrower is in compliance with the foregoing.</w:t>
      </w:r>
    </w:p>
    <w:p>
      <w:pPr>
        <w:spacing w:after="0" w:line="20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and Letters of Credit), or obligations in respect of one or more Swap Agreements, of any one or more of the Borrower and its Subsidiaries in an aggregate principal amount exceeding the greater of (a) $15,000,000 and (b) 7.5% of Consolidated EBITDA for the period of four consecutive fiscal quarters most recently ended for which financial statements have been delivered pursuant to Section 5.01(a) or (b).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has the meaning assigned to such term in Section 9.17.</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means any mortgage, deed of trust or other agreement which conveys or evidences a Lien securing the Secured Obligations in favor of the Administrative Agent, for the benefit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Administrative Agent and the other Secured Parties, on real property of a Loan Party, including any amendment, restatement, modification or supplement thereto.</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 Instruments</w:t>
      </w:r>
      <w:r>
        <w:rPr>
          <w:rFonts w:ascii="Times New Roman" w:cs="Times New Roman" w:eastAsia="Times New Roman" w:hAnsi="Times New Roman"/>
          <w:sz w:val="20"/>
          <w:szCs w:val="20"/>
          <w:color w:val="auto"/>
        </w:rPr>
        <w:t>” means such title reports, ALTA title insurance policies (with endorsements), evidence of zoning compliance, property insurance, flood certifications and flood insurance (and, if applicable, FEMA form acknowledgements of insurance), opinions of counsel, ALTA surveys, appraisals, environmental assessments and reports, mortgage tax affidavits and declarations and other similar information and related certifications as are requested by, and in form and substance reasonably acceptable to, the Administrative Agent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Leverage Ratio</w:t>
      </w:r>
      <w:r>
        <w:rPr>
          <w:rFonts w:ascii="Times New Roman" w:cs="Times New Roman" w:eastAsia="Times New Roman" w:hAnsi="Times New Roman"/>
          <w:sz w:val="20"/>
          <w:szCs w:val="20"/>
          <w:color w:val="auto"/>
        </w:rPr>
        <w:t xml:space="preserve">” means, on any date, the ratio of (a) (i) Consolidated Total Indebtedness on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aggregate amount of unrestricted cash and Cash Equivalents of Borrower and its Subsidiaries on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amounts deducted pursuant to this clause (ii) shall be limited to $75,000,000, to (b) Consolidated EBITDA for the period of four consecutive fiscal quarters ended on or most recently prior to such date.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Zealand Dollars</w:t>
      </w:r>
      <w:r>
        <w:rPr>
          <w:rFonts w:ascii="Times New Roman" w:cs="Times New Roman" w:eastAsia="Times New Roman" w:hAnsi="Times New Roman"/>
          <w:sz w:val="20"/>
          <w:szCs w:val="20"/>
          <w:color w:val="auto"/>
        </w:rPr>
        <w:t>” means the lawful currency of New Zealand.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has the meaning assigned to such term in Section 9.02(d).</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Non-Global Lender</w:t>
      </w:r>
      <w:r>
        <w:rPr>
          <w:rFonts w:ascii="Times New Roman" w:cs="Times New Roman" w:eastAsia="Times New Roman" w:hAnsi="Times New Roman"/>
          <w:sz w:val="20"/>
          <w:szCs w:val="20"/>
          <w:color w:val="auto"/>
        </w:rPr>
        <w:t>” means, as of any date of determination, a Lender with a Non-Global Revolving Commitment or, if the Non-Global Revolving Commitments have terminated or expired, a Lender with Revolving Exposure in respect of such Class or otherwise denominated solely in Dollars.</w:t>
      </w:r>
    </w:p>
    <w:p>
      <w:pPr>
        <w:spacing w:after="0" w:line="16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Non-Global Revolving Commitment</w:t>
      </w:r>
      <w:r>
        <w:rPr>
          <w:rFonts w:ascii="Times New Roman" w:cs="Times New Roman" w:eastAsia="Times New Roman" w:hAnsi="Times New Roman"/>
          <w:sz w:val="20"/>
          <w:szCs w:val="20"/>
          <w:color w:val="auto"/>
        </w:rPr>
        <w:t xml:space="preserve">” means, with respect to each Lender, the commitment, if any, of such Lender to make Revolving Loans denominated only in Dollars and to acquire participations in Letters of Credit denominated only in Dollars and participations in Swingline Loans hereunder, expressed as an amount representing the maximum aggregate permitted amount of such Lender’s Revolving Exposure hereunder, as such commitment may be (a) reduced from time to time pursuant to assignments by or to such Lender pursuant to Section 9.04 or (b) converted to a Global Revolving Commitment in its entirety as provided under Section 1.11. The initial amount of each Lender’s Non-Global Revolving Commitment is set forth opposite such Lender’s name as its “Non-Global Revolving Commitment”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or in the Assignment and Assumption or other documentation or record (as such term is defined in Section 9-102(a)(70) of the UCC) as provided in Section 9.04 pursuant to which such Lender shall have assumed its Non-Global Revolving Commitment, as applicable. For the avoidance of doubt, it is agreed and acknowledged that no Non-Global Lender shall have any Revolving Commitment with respect to Loans and Letters of Credit denominated in Foreign Currencies.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NYFRB’s Website</w:t>
      </w:r>
      <w:r>
        <w:rPr>
          <w:rFonts w:ascii="Times New Roman" w:cs="Times New Roman" w:eastAsia="Times New Roman" w:hAnsi="Times New Roman"/>
          <w:sz w:val="20"/>
          <w:szCs w:val="20"/>
          <w:color w:val="auto"/>
        </w:rPr>
        <w:t>” means the website of the NYFRB at http://www.newyorkfed.org, or any successor source.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NZD Interpolated Rate</w:t>
      </w:r>
      <w:r>
        <w:rPr>
          <w:rFonts w:ascii="Times New Roman" w:cs="Times New Roman" w:eastAsia="Times New Roman" w:hAnsi="Times New Roman"/>
          <w:sz w:val="20"/>
          <w:szCs w:val="20"/>
          <w:color w:val="auto"/>
        </w:rPr>
        <w:t>” means, at any time, with respect to any Term Benchmark Borrowing denominated in New Zealand Dollars and for any Interest Period, the rate per annum (rounded to the same number of decimal places as the NZD Screen Rate) determined by the Administrative Agent (which determination shall be conclusive and binding absent manifest error) to be equal to the rate that results from interpolating on a linear basis between: (a) the NZD Screen Rate for the longest period (for which the NZD Screen Rate is available) that is shorter than the Impacted NZD Rate Interest Period; and (b) the NZD Screen Rate for the shortest period (for which the NZD Screen Rate is available) that exceeds the Impacted NZD Rate Interest Period, in each case, at such time; provided that if any NZD Interpolated Rate shall be less than the Floor, such rate shall be deemed to be the Floor for the purposes of this Agreement.</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NZD Rate</w:t>
      </w:r>
      <w:r>
        <w:rPr>
          <w:rFonts w:ascii="Times New Roman" w:cs="Times New Roman" w:eastAsia="Times New Roman" w:hAnsi="Times New Roman"/>
          <w:sz w:val="20"/>
          <w:szCs w:val="20"/>
          <w:color w:val="auto"/>
        </w:rPr>
        <w:t>” means, with respect to any Term Benchmark Borrowing denominated in New Zealand Dollars and for any Interest Period, the NZD Screen Rate at approximately 11:00 a.m., Wellington, New Zealand time, on the first day of such Interest Period; provided that, if the NZD Screen Rate shall not be available at such time for such Interest Period (an “Impacted NZD Rate Interest Period”) with respect to New Zealand Dollars, then the NZD Rate shall be the NZD Interpolated Rate.</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NZD Screen Rate</w:t>
      </w:r>
      <w:r>
        <w:rPr>
          <w:rFonts w:ascii="Times New Roman" w:cs="Times New Roman" w:eastAsia="Times New Roman" w:hAnsi="Times New Roman"/>
          <w:sz w:val="20"/>
          <w:szCs w:val="20"/>
          <w:color w:val="auto"/>
        </w:rPr>
        <w:t>” means, for any day and time, with respect to any Term Benchmark Borrowing denominated in New Zealand Dollars and for any Interest Period, the rate per annum determined by the Administrative Agent which is equal to the average bank bill reference rate as administered by the New Zealand Financial Markets Association (or any other Person that takes over the administration of such rate) for bills of exchange with a tenor equal in length to such Interest Period as displayed on page BKBM of the Reuters screen (or, in the event such rate does not appear on such page, on any successor or substitute page on such screen that displays such rate, or on the appropriate page of such other information service that publishes such rate, or on the appropriate page of such other information service that publishes such rate as shall be selected by the Administrative Agent from time to time in its reasonable discretion); provided that if, the NZD Screen Rate shall be less than the Floor, the NZD Screen Rate shall be deemed to be the Floor for purposes of this Agreement.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has the meaning assigned to such term in Section 10.02.</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Indemnitee,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Off-Balance Sheet Liability</w:t>
      </w:r>
      <w:r>
        <w:rPr>
          <w:rFonts w:ascii="Times New Roman" w:cs="Times New Roman" w:eastAsia="Times New Roman" w:hAnsi="Times New Roman"/>
          <w:sz w:val="20"/>
          <w:szCs w:val="20"/>
          <w:color w:val="auto"/>
        </w:rPr>
        <w:t>” of a Person means (a) any repurchase obligation or liability of such Person with respect to accounts or notes receivable sold by such Person (other than customary repurchase obligations and liabilities in Permitted Factoring Transactions),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Indebtedness</w:t>
      </w:r>
      <w:r>
        <w:rPr>
          <w:rFonts w:ascii="Times New Roman" w:cs="Times New Roman" w:eastAsia="Times New Roman" w:hAnsi="Times New Roman"/>
          <w:sz w:val="20"/>
          <w:szCs w:val="20"/>
          <w:color w:val="auto"/>
        </w:rPr>
        <w:t>” has the meaning assigned to such term in Section 6.01(f).</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Overall LC Sublimit</w:t>
      </w:r>
      <w:r>
        <w:rPr>
          <w:rFonts w:ascii="Times New Roman" w:cs="Times New Roman" w:eastAsia="Times New Roman" w:hAnsi="Times New Roman"/>
          <w:sz w:val="20"/>
          <w:szCs w:val="20"/>
          <w:color w:val="auto"/>
        </w:rPr>
        <w:t>” means $35,000,000.</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NYFRB Rate and (b) with respect to any amount denominated in a Foreign Currency, an overnight rate determined by the Administrative Agent or the Issuing Bank, as the case may be, in accordance with banking industry rules on interbank compensation.</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Paid in Full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Payment in Full</w:t>
      </w:r>
      <w:r>
        <w:rPr>
          <w:rFonts w:ascii="Times New Roman" w:cs="Times New Roman" w:eastAsia="Times New Roman" w:hAnsi="Times New Roman"/>
          <w:sz w:val="20"/>
          <w:szCs w:val="20"/>
          <w:color w:val="auto"/>
        </w:rPr>
        <w:t>” means, (a) the payment in full in cash of all outstanding Loans and LC Disbursements, together with accrued and unpaid interest thereon, (b) the termination, expiration, or cancellation and return of all outstanding Letters of Credit (or alternatively, with respect to each such Letter of Credit, the furnishing to the Administrative Agent of a cash deposit in Dollars, or, at the discretion of the Administrative Agent, such other Agreed Currency, or a backup standby letter of credit satisfactory to the Administrative Agent and the Issuing Bank, in an amount equal to 103% of the Dollar Amount of the LC Exposure as of the date of such payment), (c) the payment in full in cash of the accrued and unpaid fees, (d) the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(e) the termination of all Revolving Commitments, and (f) the termination of the Swap Agreement Obligations and the Banking Services Obligations or entering into other arrangements satisfactory to the Secured Parties counterparties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means, with respect to any Lender, any Person as to which such Lender is, directly or indirectly, a subsidiary.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assigned to such term in Section 9.04(c).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 meaning assigned to such term in Section 9.04(c).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has the meaning assigned to it in Section 8.06(c).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has the meaning assigned to it in Section 8.06(c).</w:t>
      </w:r>
    </w:p>
    <w:p>
      <w:pPr>
        <w:spacing w:after="0" w:line="229"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any Acquisition by any Loan Party in a transaction that satisfies each of the following requirements:</w:t>
      </w:r>
    </w:p>
    <w:p>
      <w:pPr>
        <w:spacing w:after="0" w:line="229" w:lineRule="exact"/>
        <w:rPr>
          <w:sz w:val="20"/>
          <w:szCs w:val="20"/>
          <w:color w:val="auto"/>
        </w:rPr>
      </w:pPr>
    </w:p>
    <w:p>
      <w:pPr>
        <w:ind w:left="1720" w:hanging="416"/>
        <w:spacing w:after="0"/>
        <w:tabs>
          <w:tab w:leader="none" w:pos="1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is not a Hostile Acquisition;</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81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acquired in connection with such Acquisition is (i) located in the U.S. or Canada, (ii) organized under applicable U.S. state law or Canadian federal or provincial law, and (iii) not engaged, directly or indirectly, in any line of business other than the businesses in which the Loan Parties prohibited from engaging under Section 6.03(b);</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76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before and immediately after giving effect (including giving effect on a pro forma basis) to such Acquisition and any Indebtedness incurred or assumed in connection therewith, (i) each of the representations and warranties in the Loan Documents is true and correct in all material respects (except any such representation or warranty which relates to a specified prior date, and any such representation or warranty which is subject to any materiality qualifier, which shall be required to be true and correct in all respects) and (ii) no Default or Event of Default then exists or would result therefrom;</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87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with respect to Acquisitions for which the aggregate consideration in respect thereof is less than or equal to $50,000,000, within five (5) Business Days following the consummation of such Acquisition, the Borrower shall provide written notice to the Administrative Agent of such Acquisition, or (ii) with respect to Acquisitions for which the aggregate consideration in respect thereof is greater than $50,000,000, Borrower shall deliver to Administrative Agent no later than fifteen (15) days prior to the consummation of such Acquisition, written notice of such Acquisition and, promptly after request, a copy of all business and financial information reasonably requested by the Administrative Agent including pro forma financial statements and statements of cash flow; provided, that for purposes of complying with the notice and information delivery requirements of this paragraph (d), materials filed with the SEC shall be deemed to have been delivered on the date on which such materials are publicly available on</w:t>
      </w:r>
    </w:p>
    <w:p>
      <w:pPr>
        <w:spacing w:after="0" w:line="2"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EDGAR;</w:t>
      </w:r>
    </w:p>
    <w:p>
      <w:pPr>
        <w:spacing w:after="0" w:line="20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4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before and immediately after giving effect (including giving effect on a pro forma basis) to such Acquisition and the Loans (if any) requested to be made in connection therewith, the Borrower shall be in compliance (on a pro forma basis) with the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contained in Section 6.12 (determined by counting the good faith determination of the maximum possible amount of any earnout or deferred purchase price (excluding customary working capital or similar purchase price adjustments) as Indebtedness in such computation);</w:t>
      </w:r>
    </w:p>
    <w:p>
      <w:pPr>
        <w:spacing w:after="0" w:line="181" w:lineRule="exact"/>
        <w:rPr>
          <w:sz w:val="20"/>
          <w:szCs w:val="20"/>
          <w:color w:val="auto"/>
        </w:rPr>
      </w:pPr>
    </w:p>
    <w:p>
      <w:pPr>
        <w:ind w:right="20" w:firstLine="644"/>
        <w:spacing w:after="0" w:line="269" w:lineRule="auto"/>
        <w:tabs>
          <w:tab w:leader="none" w:pos="11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Acquisition is an acquisition of the Equity Interests of a Person, such Acquisition is structured so that the acquired Person shall become a wholly-owned Subsidiary of a Loan Party pursuant to the terms of this Agreement;</w:t>
      </w:r>
    </w:p>
    <w:p>
      <w:pPr>
        <w:spacing w:after="0" w:line="172" w:lineRule="exact"/>
        <w:rPr>
          <w:rFonts w:ascii="Times New Roman" w:cs="Times New Roman" w:eastAsia="Times New Roman" w:hAnsi="Times New Roman"/>
          <w:sz w:val="20"/>
          <w:szCs w:val="20"/>
          <w:color w:val="auto"/>
        </w:rPr>
      </w:pPr>
    </w:p>
    <w:p>
      <w:pPr>
        <w:ind w:left="1140" w:hanging="496"/>
        <w:spacing w:after="0"/>
        <w:tabs>
          <w:tab w:leader="none" w:pos="11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Acquisition is an acquisition of assets, such Acquisition is structured so that a Loan Party shall acquire such</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w:t>
      </w:r>
    </w:p>
    <w:p>
      <w:pPr>
        <w:spacing w:after="0" w:line="200" w:lineRule="exact"/>
        <w:rPr>
          <w:rFonts w:ascii="Times New Roman" w:cs="Times New Roman" w:eastAsia="Times New Roman" w:hAnsi="Times New Roman"/>
          <w:sz w:val="20"/>
          <w:szCs w:val="20"/>
          <w:color w:val="auto"/>
        </w:rPr>
      </w:pPr>
    </w:p>
    <w:p>
      <w:pPr>
        <w:ind w:left="1060" w:hanging="416"/>
        <w:spacing w:after="0"/>
        <w:tabs>
          <w:tab w:leader="none" w:pos="10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Acquisition is an acquisition of Equity Interests, such Acquisition will not result in any violation of Regulation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w:t>
      </w:r>
    </w:p>
    <w:p>
      <w:pPr>
        <w:spacing w:after="0" w:line="200" w:lineRule="exact"/>
        <w:rPr>
          <w:rFonts w:ascii="Times New Roman" w:cs="Times New Roman" w:eastAsia="Times New Roman" w:hAnsi="Times New Roman"/>
          <w:sz w:val="20"/>
          <w:szCs w:val="20"/>
          <w:color w:val="auto"/>
        </w:rPr>
      </w:pPr>
    </w:p>
    <w:p>
      <w:pPr>
        <w:jc w:val="both"/>
        <w:ind w:right="20" w:firstLine="644"/>
        <w:spacing w:after="0" w:line="268" w:lineRule="auto"/>
        <w:tabs>
          <w:tab w:leader="none" w:pos="116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Acquisition involves a merger or a consolidation involving any Loan Party, such Loan Party shall be the surviving entity (provided that any such merger or consolidation involving the Borrower shall result in the Borrower as the surviving entity);</w:t>
      </w:r>
    </w:p>
    <w:p>
      <w:pPr>
        <w:spacing w:after="0" w:line="161" w:lineRule="exact"/>
        <w:rPr>
          <w:rFonts w:ascii="Times New Roman" w:cs="Times New Roman" w:eastAsia="Times New Roman" w:hAnsi="Times New Roman"/>
          <w:sz w:val="20"/>
          <w:szCs w:val="20"/>
          <w:color w:val="auto"/>
        </w:rPr>
      </w:pPr>
    </w:p>
    <w:p>
      <w:pPr>
        <w:ind w:firstLine="644"/>
        <w:spacing w:after="0" w:line="283" w:lineRule="auto"/>
        <w:tabs>
          <w:tab w:leader="none" w:pos="109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shall, as a result of or in connection with any such Acquisition, assume or incur any direct or contingent liabilities (whether relating to environmental, tax, litigation, or other matters) that could have a Material Adverse Effect;</w:t>
      </w:r>
    </w:p>
    <w:p>
      <w:pPr>
        <w:spacing w:after="0" w:line="146" w:lineRule="exact"/>
        <w:rPr>
          <w:rFonts w:ascii="Times New Roman" w:cs="Times New Roman" w:eastAsia="Times New Roman" w:hAnsi="Times New Roman"/>
          <w:sz w:val="20"/>
          <w:szCs w:val="20"/>
          <w:color w:val="auto"/>
        </w:rPr>
      </w:pPr>
    </w:p>
    <w:p>
      <w:pPr>
        <w:jc w:val="both"/>
        <w:ind w:firstLine="644"/>
        <w:spacing w:after="0" w:line="258" w:lineRule="auto"/>
        <w:tabs>
          <w:tab w:leader="none" w:pos="106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 Acquisition of the Equity Interests of any Person, all Liens on any property of such Person shall be terminated unless the Administrative Agent and the Lenders in their sole discretion consent otherwise, and in connection with an Acquisition of the assets of any Person, all Liens on such assets shall be terminated (except for, in each case, Liens permitted under Section 6.02);</w:t>
      </w:r>
    </w:p>
    <w:p>
      <w:pPr>
        <w:spacing w:after="0" w:line="185" w:lineRule="exact"/>
        <w:rPr>
          <w:rFonts w:ascii="Times New Roman" w:cs="Times New Roman" w:eastAsia="Times New Roman" w:hAnsi="Times New Roman"/>
          <w:sz w:val="20"/>
          <w:szCs w:val="20"/>
          <w:color w:val="auto"/>
        </w:rPr>
      </w:pPr>
    </w:p>
    <w:p>
      <w:pPr>
        <w:ind w:firstLine="644"/>
        <w:spacing w:after="0" w:line="269" w:lineRule="auto"/>
        <w:tabs>
          <w:tab w:leader="none" w:pos="121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actions required to be taken with respect to any newly acquired or formed Subsidiary of a Loan Party required under Section 5.13 shall have been taken; and</w:t>
      </w:r>
    </w:p>
    <w:p>
      <w:pPr>
        <w:spacing w:after="0" w:line="172" w:lineRule="exact"/>
        <w:rPr>
          <w:rFonts w:ascii="Times New Roman" w:cs="Times New Roman" w:eastAsia="Times New Roman" w:hAnsi="Times New Roman"/>
          <w:sz w:val="20"/>
          <w:szCs w:val="20"/>
          <w:color w:val="auto"/>
        </w:rPr>
      </w:pPr>
    </w:p>
    <w:p>
      <w:pPr>
        <w:jc w:val="both"/>
        <w:ind w:firstLine="644"/>
        <w:spacing w:after="0" w:line="251" w:lineRule="auto"/>
        <w:tabs>
          <w:tab w:leader="none" w:pos="113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Acquisitions for which the aggregate consideration in respect thereof is greater than $50,000,000, the Borrower shall have delivered to the Administrative Agent the final executed material documentation relating to such Acquisition within 5 Business Days following the consummation thereof; provided, that to the extent any such documents are included in materials otherwise filed with the SEC, such documents shall be deemed to have been delivered on the date on which such materials are publicly available on EDGAR; provided, further, that with respect to any Acquisition for which the aggregate consideration does not exceed $50,000,000, the Borrower shall deliver to the Administrative Agent, promptly after request and the consummation thereof, the final executed material documentation relating thereto.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ind w:left="1060" w:hanging="416"/>
        <w:spacing w:after="0"/>
        <w:tabs>
          <w:tab w:leader="none" w:pos="10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for Taxes that are not yet due or are being contested in compliance with Section 5.04;</w:t>
      </w:r>
    </w:p>
    <w:p>
      <w:pPr>
        <w:spacing w:after="0" w:line="215" w:lineRule="exact"/>
        <w:rPr>
          <w:rFonts w:ascii="Times New Roman" w:cs="Times New Roman" w:eastAsia="Times New Roman" w:hAnsi="Times New Roman"/>
          <w:sz w:val="20"/>
          <w:szCs w:val="20"/>
          <w:color w:val="auto"/>
        </w:rPr>
      </w:pPr>
    </w:p>
    <w:p>
      <w:pPr>
        <w:jc w:val="both"/>
        <w:ind w:firstLine="644"/>
        <w:spacing w:after="0" w:line="261" w:lineRule="auto"/>
        <w:tabs>
          <w:tab w:leader="none" w:pos="115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landlords’, warehousemen’s, mechanics’, materialmen’s, repairmen’s and other like Liens imposed by law, arising in the ordinary course of business and securing obligations that are not overdue by more than sixty (60) days or are being contested in compliance with Section 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0580"/>
          </w:cols>
          <w:pgMar w:left="980" w:top="1440" w:right="339" w:bottom="1440" w:gutter="0" w:footer="0" w:header="0"/>
        </w:sectPr>
      </w:pPr>
    </w:p>
    <w:bookmarkStart w:id="39" w:name="page40"/>
    <w:bookmarkEnd w:id="39"/>
    <w:p>
      <w:pPr>
        <w:spacing w:after="0" w:line="189" w:lineRule="exact"/>
        <w:rPr>
          <w:sz w:val="20"/>
          <w:szCs w:val="20"/>
          <w:color w:val="auto"/>
        </w:rPr>
      </w:pPr>
    </w:p>
    <w:p>
      <w:pPr>
        <w:ind w:left="660" w:right="20" w:firstLine="644"/>
        <w:spacing w:after="0" w:line="283" w:lineRule="auto"/>
        <w:tabs>
          <w:tab w:leader="none" w:pos="198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85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4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Liens in respect of judgments that do not constitute an Event of Default under clause (k) of Article VII;</w:t>
      </w:r>
    </w:p>
    <w:p>
      <w:pPr>
        <w:spacing w:after="0" w:line="229" w:lineRule="exact"/>
        <w:rPr>
          <w:rFonts w:ascii="Times New Roman" w:cs="Times New Roman" w:eastAsia="Times New Roman" w:hAnsi="Times New Roman"/>
          <w:sz w:val="20"/>
          <w:szCs w:val="20"/>
          <w:color w:val="auto"/>
        </w:rPr>
      </w:pPr>
    </w:p>
    <w:p>
      <w:pPr>
        <w:ind w:left="660" w:firstLine="644"/>
        <w:spacing w:after="0" w:line="283" w:lineRule="auto"/>
        <w:tabs>
          <w:tab w:leader="none" w:pos="177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 in the ordinary course of business so long as such Liens only cover the related goods;</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8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81"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88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 financing statements filed (or similar financing statements under applicable law) solely as a precautionary measure in connection with operating leases; and</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70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representing any interest of title of a licensor, lessor or sublessor, or a licensee, lessee or sublicensee or sublessee, in the property subject to any lease, license or sublicense or concession agreement, in each case to the extent any such lease, license or sublicense or concession agreement (i) is permitted under the Loan Documents, (ii) is incurred in the ordinary course of business and (iii) does not materially detract from the value of the property subject thereto or materially interfere with the ordinary conduct of the business of the Borrower or any Subsidiary.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“Permitted Encumbrances” shall not include any Lien securing Indebtedness, except with respect to clause (e)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Factoring Transaction</w:t>
      </w:r>
      <w:r>
        <w:rPr>
          <w:rFonts w:ascii="Times New Roman" w:cs="Times New Roman" w:eastAsia="Times New Roman" w:hAnsi="Times New Roman"/>
          <w:sz w:val="20"/>
          <w:szCs w:val="20"/>
          <w:color w:val="auto"/>
        </w:rPr>
        <w:t xml:space="preserve">” means any sale or other Disposition of Factoring Assets on a non-recourse basis consistent with a true sale,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fair market value of all Factoring Assets Disposed of in Permitted Factoring Transactions in any fiscal year shall not exceed the greater of (a) $15,000,000 and (b) 7.5% of Consolidated EBITDA for the period of four consecutive fiscal quarters most recently ended for which financial statements have been delivered pursuant to Section 5.01(a) or (b) (determined at the time of Disposition).</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Holders</w:t>
      </w:r>
      <w:r>
        <w:rPr>
          <w:rFonts w:ascii="Times New Roman" w:cs="Times New Roman" w:eastAsia="Times New Roman" w:hAnsi="Times New Roman"/>
          <w:sz w:val="20"/>
          <w:szCs w:val="20"/>
          <w:color w:val="auto"/>
        </w:rPr>
        <w:t>” means (a) Perot Holdings, LLC and Petrus P.C. LLC, and any of their respective Affiliates (subject to satisfactory “know your customer” diligence, as applicable), and (b) Ashish Arora and any trust controlled by Ashish Arora.</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jc w:val="both"/>
        <w:ind w:left="660" w:firstLine="644"/>
        <w:spacing w:after="0" w:line="261" w:lineRule="auto"/>
        <w:tabs>
          <w:tab w:leader="none" w:pos="177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89" w:lineRule="exact"/>
        <w:rPr>
          <w:sz w:val="20"/>
          <w:szCs w:val="20"/>
          <w:color w:val="auto"/>
        </w:rPr>
      </w:pPr>
    </w:p>
    <w:p>
      <w:pPr>
        <w:ind w:left="660" w:firstLine="644"/>
        <w:spacing w:after="0" w:line="283" w:lineRule="auto"/>
        <w:tabs>
          <w:tab w:leader="none" w:pos="173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commercial paper maturing within 270 days from the date of acquisition thereof and having, at such date of acquisition, the highest credit rating obtainable from S&amp;P or from Moody’s;</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3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 or any Lender or Affiliate thereof;</w:t>
      </w:r>
    </w:p>
    <w:p>
      <w:pPr>
        <w:spacing w:after="0" w:line="185" w:lineRule="exact"/>
        <w:rPr>
          <w:rFonts w:ascii="Times New Roman" w:cs="Times New Roman" w:eastAsia="Times New Roman" w:hAnsi="Times New Roman"/>
          <w:sz w:val="20"/>
          <w:szCs w:val="20"/>
          <w:color w:val="auto"/>
        </w:rPr>
      </w:pPr>
    </w:p>
    <w:p>
      <w:pPr>
        <w:ind w:left="660" w:firstLine="644"/>
        <w:spacing w:after="0" w:line="269" w:lineRule="auto"/>
        <w:tabs>
          <w:tab w:leader="none" w:pos="178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72"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74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market funds that (i) comply with the criteria set forth in SEC Rule 2a-7 under the Investment Company Act of 1940, (ii) are rated AAA by S&amp;P and Aaa by Moody’s and (iii) have portfolio assets of at least $5,000,000,000; and</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90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by the Borrower or its Subsidiaries substantially consistent with the Borrower’s investment guidelines and policies as in effect as of the Effective Date.</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means 29 CFR § 2510.3-101 et seq., as modified by Section 3(42) of ERISA, as amended from time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Pounds Sterling</w:t>
      </w:r>
      <w:r>
        <w:rPr>
          <w:rFonts w:ascii="Times New Roman" w:cs="Times New Roman" w:eastAsia="Times New Roman" w:hAnsi="Times New Roman"/>
          <w:sz w:val="20"/>
          <w:szCs w:val="20"/>
          <w:color w:val="auto"/>
        </w:rPr>
        <w:t>” means the lawful currency of the United Kingdom.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means any claim, litigation, investigation, action, suit, arbitration or administrative, judicial or regulatory action or proceeding in any jurisdiction.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has the meaning assigned to such term in Section 5.01(e).</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has the meaning assigned to it in Section 9.21.</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as applicable, (a) the Administrative Agent, (b) any Lender and (c) any Issuing Bank, or any combination thereof (as the context requires).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(1) if such Benchmark is the Term SOFR Rate,</w:t>
      </w:r>
    </w:p>
    <w:p>
      <w:pPr>
        <w:spacing w:after="0" w:line="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5:00 a.m. (Chicago time) on the day that is two Business Days preceding the date of such setting, (2) , except with respect to Swingline Loans that are RFR Loans, if following a Benchmark Transition Event and Benchmark Replacement Date with respect to the Term SOFR Rate, such Benchmark is Daily Simple SOFR, then five Business Days prior to such setting, (3) if such Benchmark is the AUD Rate, 11:00 a.m., Sydney, Australia time, on the date of such setting, (4) if such Benchmark is the NZD Rate, 11:00 a.m., Wellington, New Zealand time, on the date of such setting, (5) if such Benchmark is Daily Simple SONIA, then four Business Days prior to such setting, (6) [reserved], and</w:t>
      </w:r>
    </w:p>
    <w:p>
      <w:pPr>
        <w:ind w:left="660" w:right="1440" w:hanging="652"/>
        <w:spacing w:after="0" w:line="463" w:lineRule="auto"/>
        <w:tabs>
          <w:tab w:leader="none" w:pos="29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Benchmark is none of the foregoing, the time determined by the Administrative Agent in its reasonable discretion. “</w:t>
      </w:r>
      <w:r>
        <w:rPr>
          <w:rFonts w:ascii="Times New Roman" w:cs="Times New Roman" w:eastAsia="Times New Roman" w:hAnsi="Times New Roman"/>
          <w:sz w:val="20"/>
          <w:szCs w:val="20"/>
          <w:u w:val="single" w:color="auto"/>
          <w:color w:val="auto"/>
        </w:rPr>
        <w:t>Refinance Indebtedness</w:t>
      </w:r>
      <w:r>
        <w:rPr>
          <w:rFonts w:ascii="Times New Roman" w:cs="Times New Roman" w:eastAsia="Times New Roman" w:hAnsi="Times New Roman"/>
          <w:sz w:val="20"/>
          <w:szCs w:val="20"/>
          <w:color w:val="auto"/>
        </w:rPr>
        <w:t>” has the meaning assigned to such term in Section 6.01(f).</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has the meaning assigned to such term in Section 9.04(b).</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means Regulation D of the Federal Reserve Board, as in effect from time to time and all official rulings and interpretations thereunder or thereof.</w:t>
      </w:r>
    </w:p>
    <w:p>
      <w:pPr>
        <w:spacing w:after="0" w:line="17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means Regulation T of the Federal Reserve Board, as in effect from time to time and all official rulings and interpretations thereunder or thereof.</w:t>
      </w:r>
    </w:p>
    <w:p>
      <w:pPr>
        <w:spacing w:after="0" w:line="17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Federal Reserve Board, as in effect from time to time and all official rulings and interpretations thereunder or thereof.</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means Regulation X of the Federal Reserve Board, as in effect from time to time and all official rulings and interpretations thereunder or thereof.</w:t>
      </w:r>
    </w:p>
    <w:p>
      <w:pPr>
        <w:spacing w:after="0" w:line="146" w:lineRule="exact"/>
        <w:rPr>
          <w:sz w:val="20"/>
          <w:szCs w:val="20"/>
          <w:color w:val="auto"/>
        </w:rPr>
      </w:pPr>
    </w:p>
    <w:p>
      <w:pPr>
        <w:ind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38"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releasing, spilling, leaking, pumping, pouring, emitting, emptying, discharging, injecting, escaping, leaching, migrating, disposing, or dumping of any substance into the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Governmental Body</w:t>
      </w:r>
      <w:r>
        <w:rPr>
          <w:rFonts w:ascii="Times New Roman" w:cs="Times New Roman" w:eastAsia="Times New Roman" w:hAnsi="Times New Roman"/>
          <w:sz w:val="19"/>
          <w:szCs w:val="19"/>
          <w:color w:val="auto"/>
        </w:rPr>
        <w:t>” means (i) with respect to a Benchmark Replacement in respect of Loans denominated in Dollars, the Federal Reserve Board and/or the NYFRB, as applicable, or a committee officially endorsed or convened by the Federal Reserve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and (iii) with respect to a Benchmark Replacement in respect of Loans denominated in any other Agreed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w:t>
      </w:r>
    </w:p>
    <w:p>
      <w:pPr>
        <w:spacing w:after="0" w:line="4" w:lineRule="exact"/>
        <w:rPr>
          <w:sz w:val="20"/>
          <w:szCs w:val="20"/>
          <w:color w:val="auto"/>
        </w:rPr>
      </w:pPr>
    </w:p>
    <w:p>
      <w:pPr>
        <w:jc w:val="both"/>
        <w:ind w:firstLine="8"/>
        <w:spacing w:after="0" w:line="253" w:lineRule="auto"/>
        <w:tabs>
          <w:tab w:leader="none" w:pos="28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Rate</w:t>
      </w:r>
      <w:r>
        <w:rPr>
          <w:rFonts w:ascii="Times New Roman" w:cs="Times New Roman" w:eastAsia="Times New Roman" w:hAnsi="Times New Roman"/>
          <w:sz w:val="19"/>
          <w:szCs w:val="19"/>
          <w:color w:val="auto"/>
        </w:rPr>
        <w:t>” means (i) with respect to any Term Benchmark Borrowing denominated in Dollars, the Adjusted Term SOFR Rate,</w:t>
      </w:r>
    </w:p>
    <w:p>
      <w:pPr>
        <w:spacing w:after="0" w:line="33" w:lineRule="exact"/>
        <w:rPr>
          <w:sz w:val="20"/>
          <w:szCs w:val="20"/>
          <w:color w:val="auto"/>
        </w:rPr>
      </w:pPr>
    </w:p>
    <w:p>
      <w:pPr>
        <w:jc w:val="both"/>
        <w:ind w:firstLine="8"/>
        <w:spacing w:after="0" w:line="249" w:lineRule="auto"/>
        <w:tabs>
          <w:tab w:leader="none" w:pos="32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Term Benchmark Borrowing denominated in Australian Dollars, the AUD Rate, (iii) with respect to any Term Benchmark Borrowing denominated in New Zealand Dollars, the NZD Rate, and (iv) with respect to any RFR Borrowing denominated in Pounds Sterling or Dollars, the applicable Adjusted Daily Simple RFR, as applicable.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Screen Rate</w:t>
      </w:r>
      <w:r>
        <w:rPr>
          <w:rFonts w:ascii="Times New Roman" w:cs="Times New Roman" w:eastAsia="Times New Roman" w:hAnsi="Times New Roman"/>
          <w:sz w:val="20"/>
          <w:szCs w:val="20"/>
          <w:color w:val="auto"/>
        </w:rPr>
        <w:t>” means (i) with respect to any Term Benchmark Borrowing denominated in Dollars, the Term SOFR Reference Rate, (ii) with respect to any Term Benchmark Borrowing denominated in Australian Dollars, the AUD Screen Rate, and (iii) with respect to any Term Benchmark Borrowing denominated in New Zealand Dollars, the NZD Screen Rate, as applicable.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subject to Section 2.20: (a) at any time prior to the earlier of the Loans becoming due and payable pursuant to Article VII or the Revolving Commitments terminating or expiring, two or more Lenders having Revolving Exposures and Unfunded Revolving Commitments representing more than 50% of the sum of the Aggregate Revolving Exposure and aggregate Unfunded Revolving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for purposes of declaring the Loans to be due and payable pursuant to Article VII, the Unfunded Revolving Commitment of each Lender shall be deemed to be zero in determining the Required Lenders; and (b) for all purposes after the Loans become due and payable pursuant to Article VII or the Revolving Commitments expire or terminate, two or more Lenders having Revolving Exposures representing more than 50% of the sum of the Aggregate Revolving Exposure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clauses (a) and (b) above, the Revolving Exposure of any Lender that is a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Revolving Commitment of such Lender shall be determined on the basis of its Revolving Exposure excluding such excess amount; provided further, that, notwithstanding the foregoing, Required Lenders shall at all times include at least two Lenders (or, if there is only one Lender, such Lender).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to or binding upon such Person or any of its property or to which such Person or any of its property is subject.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the president, Financial Officer or other executive officer of the Borrower.</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as the case may be,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 or any option, warrant or other right to acquire any such Equity Interests in the Borrower or any Subsidiary.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Reuters</w:t>
      </w:r>
      <w:r>
        <w:rPr>
          <w:rFonts w:ascii="Times New Roman" w:cs="Times New Roman" w:eastAsia="Times New Roman" w:hAnsi="Times New Roman"/>
          <w:sz w:val="20"/>
          <w:szCs w:val="20"/>
          <w:color w:val="auto"/>
        </w:rPr>
        <w:t>” means, as applicable, Thomson Reuters Corp, Refinitiv, or any successor thereto.</w:t>
      </w:r>
    </w:p>
    <w:p>
      <w:pPr>
        <w:spacing w:after="0" w:line="22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Revaluation Date</w:t>
      </w:r>
      <w:r>
        <w:rPr>
          <w:rFonts w:ascii="Times New Roman" w:cs="Times New Roman" w:eastAsia="Times New Roman" w:hAnsi="Times New Roman"/>
          <w:sz w:val="19"/>
          <w:szCs w:val="19"/>
          <w:color w:val="auto"/>
        </w:rPr>
        <w:t>” shall mean (a) with respect to any Loan denominated in any Foreign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 Foreign Currency, each of the following:</w:t>
      </w:r>
    </w:p>
    <w:p>
      <w:pPr>
        <w:spacing w:after="0" w:line="2" w:lineRule="exact"/>
        <w:rPr>
          <w:sz w:val="20"/>
          <w:szCs w:val="20"/>
          <w:color w:val="auto"/>
        </w:rPr>
      </w:pPr>
    </w:p>
    <w:p>
      <w:pPr>
        <w:jc w:val="both"/>
        <w:ind w:firstLine="8"/>
        <w:spacing w:after="0" w:line="253" w:lineRule="auto"/>
        <w:tabs>
          <w:tab w:leader="none" w:pos="23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spacing w:after="0" w:line="18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means, with respect to each Lender, its Global Revolving Commitment or its Non-Global Revolving Commitment, as applicable. “Revolving Commitments” means each Lender’s Revolving Commitment, collectively.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Maturity Date</w:t>
      </w:r>
      <w:r>
        <w:rPr>
          <w:rFonts w:ascii="Times New Roman" w:cs="Times New Roman" w:eastAsia="Times New Roman" w:hAnsi="Times New Roman"/>
          <w:sz w:val="20"/>
          <w:szCs w:val="20"/>
          <w:color w:val="auto"/>
        </w:rPr>
        <w:t>” means October 22, 2031 (if the same is a Business Day, or if not then the immediately next succeeding Business Day), or any earlier date on which the Revolving Commitments are reduced to zero or otherwise terminated pursuant to the terms hereof.</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Exposure</w:t>
      </w:r>
      <w:r>
        <w:rPr>
          <w:rFonts w:ascii="Times New Roman" w:cs="Times New Roman" w:eastAsia="Times New Roman" w:hAnsi="Times New Roman"/>
          <w:sz w:val="20"/>
          <w:szCs w:val="20"/>
          <w:color w:val="auto"/>
        </w:rPr>
        <w:t>” means, with respect to any Lender, at any time, the sum of the aggregate outstanding principal Dollar Amount of such Lender’s Revolving Loans and its LC Exposure and its Swingline Exposure at such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 Loan made pursuant to Section 2.01.</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w:t>
      </w:r>
      <w:r>
        <w:rPr>
          <w:rFonts w:ascii="Times New Roman" w:cs="Times New Roman" w:eastAsia="Times New Roman" w:hAnsi="Times New Roman"/>
          <w:sz w:val="20"/>
          <w:szCs w:val="20"/>
          <w:color w:val="auto"/>
        </w:rPr>
        <w:t>” means, for any RFR Loan denominated in (a) Pounds Sterling, SONIA and (b) Dollars, Daily Simple SOFR (x) at all times, with respect to any Swingline Loan that is an RFR Loan, and (y) with respect to any other RFR Loan, solely following a Benchmark Transition Event and Benchmark Replacement Date with respect to the Term SOFR Rate.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Borrowing</w:t>
      </w:r>
      <w:r>
        <w:rPr>
          <w:rFonts w:ascii="Times New Roman" w:cs="Times New Roman" w:eastAsia="Times New Roman" w:hAnsi="Times New Roman"/>
          <w:sz w:val="20"/>
          <w:szCs w:val="20"/>
          <w:color w:val="auto"/>
        </w:rPr>
        <w:t>” means, as to any Borrowing, the RFR Loans comprising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Business Day</w:t>
      </w:r>
      <w:r>
        <w:rPr>
          <w:rFonts w:ascii="Times New Roman" w:cs="Times New Roman" w:eastAsia="Times New Roman" w:hAnsi="Times New Roman"/>
          <w:sz w:val="20"/>
          <w:szCs w:val="20"/>
          <w:color w:val="auto"/>
        </w:rPr>
        <w:t>” means, for any Loan denominated in (a) Pounds Sterling, any day except for (i) a Saturday, (ii) a Sunday or</w:t>
      </w:r>
    </w:p>
    <w:p>
      <w:pPr>
        <w:spacing w:after="0" w:line="28" w:lineRule="exact"/>
        <w:rPr>
          <w:sz w:val="20"/>
          <w:szCs w:val="20"/>
          <w:color w:val="auto"/>
        </w:rPr>
      </w:pPr>
    </w:p>
    <w:p>
      <w:pPr>
        <w:ind w:left="660" w:right="960" w:hanging="652"/>
        <w:spacing w:after="0" w:line="463" w:lineRule="auto"/>
        <w:tabs>
          <w:tab w:leader="none" w:pos="35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day on which banks are closed for general business in London and (b) Dollars, a U.S. Government Securities Business Day. “</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has the meaning specified in the definition of “Daily Simple RFR”.</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means a Loan that bears interest at a rate based on the Adjusted Daily Simple RFR.</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 Services, a Standard &amp; Poor’s Financial Services LLC business.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has the meaning assigned to such term in Section 6.06.</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the subject or target of any Sanctions (at the time of this Agreement, the so-called Donetsk People’s Republic, the so-called Luhansk People’s Republic, the Crimea Region of Ukraine, Cuba, Iran, North Korea and Syria).</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 any Person listed in any Sanctions-related list of designated Persons maintained by OFAC, the U.S. Department of State, the United Nations Security Council, the European Union, any European Union member state, His Majesty’s Treasury of the United Kingdom, the Hong Kong Monetary Authority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all economic or financial sanctions or trade embargoes imposed, administered or enforced from time to time by</w:t>
      </w:r>
    </w:p>
    <w:p>
      <w:pPr>
        <w:spacing w:after="0" w:line="28" w:lineRule="exact"/>
        <w:rPr>
          <w:sz w:val="20"/>
          <w:szCs w:val="20"/>
          <w:color w:val="auto"/>
        </w:rPr>
      </w:pPr>
    </w:p>
    <w:p>
      <w:pPr>
        <w:jc w:val="both"/>
        <w:ind w:firstLine="8"/>
        <w:spacing w:after="0" w:line="253" w:lineRule="auto"/>
        <w:tabs>
          <w:tab w:leader="none" w:pos="27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government, including those administered by OFAC or the U.S. Department of State, or (b) the United Nations Security Council, the European Union, any European Union member state, His Majesty’s Treasury of the United Kingdom, the Hong Kong Monetary Authority or other relevant sanctions authority.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of the U.S.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xml:space="preserve">” means all Obligations, together with all Banking Services Obligations and Swap Agreement Obligations owing to one or more Lenders or their respective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definition of “Secured Obligations” shall not create any guarantee by any Loan Guarantor of (or grant of security interest by any Loan Guarantor to support, as applicable) any Excluded Swap Obligations of such Loan Guarantor for purposes of determining any obligations of any Loan Guarantor.</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(a) the Lenders, (b) the Administrative Agent,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18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Agreement</w:t>
      </w:r>
      <w:r>
        <w:rPr>
          <w:rFonts w:ascii="Times New Roman" w:cs="Times New Roman" w:eastAsia="Times New Roman" w:hAnsi="Times New Roman"/>
          <w:sz w:val="19"/>
          <w:szCs w:val="19"/>
          <w:color w:val="auto"/>
        </w:rPr>
        <w:t>” means that certain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 date of this Agreement by any other Loan Party (as required by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Agreement or any other Loan Document) or any other Person for the benefit of the Administrative Agent and the other Secured Parties, as the same may be amended, restated, supplemented or otherwise modified from time to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per annum equal to the secured overnight financing rate as administered by the SOFR Administrator.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NYFRB’s Website, currently at http://www.newyorkfed.org, or any successor source for the secured overnight financing rate identified as such by the SOFR Administrator from time to time.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Determination Date</w:t>
      </w:r>
      <w:r>
        <w:rPr>
          <w:rFonts w:ascii="Times New Roman" w:cs="Times New Roman" w:eastAsia="Times New Roman" w:hAnsi="Times New Roman"/>
          <w:sz w:val="20"/>
          <w:szCs w:val="20"/>
          <w:color w:val="auto"/>
        </w:rPr>
        <w:t>” has the meaning specified in the definition of “Daily Simple SOFR”.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has the meaning assigned to it under the definition of Daily Simple SOFR.</w:t>
      </w:r>
    </w:p>
    <w:p>
      <w:pPr>
        <w:spacing w:after="0" w:line="22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w:t>
      </w:r>
      <w:r>
        <w:rPr>
          <w:rFonts w:ascii="Times New Roman" w:cs="Times New Roman" w:eastAsia="Times New Roman" w:hAnsi="Times New Roman"/>
          <w:sz w:val="19"/>
          <w:szCs w:val="19"/>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w:t>
      </w:r>
      <w:r>
        <w:rPr>
          <w:rFonts w:ascii="Times New Roman" w:cs="Times New Roman" w:eastAsia="Times New Roman" w:hAnsi="Times New Roman"/>
          <w:sz w:val="20"/>
          <w:szCs w:val="20"/>
          <w:color w:val="auto"/>
        </w:rPr>
        <w:t>” means the Bank of England (or any successor administrator of the Sterling Overnight Index Average).</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Administrator’s Website</w:t>
      </w:r>
      <w:r>
        <w:rPr>
          <w:rFonts w:ascii="Times New Roman" w:cs="Times New Roman" w:eastAsia="Times New Roman" w:hAnsi="Times New Roman"/>
          <w:sz w:val="20"/>
          <w:szCs w:val="20"/>
          <w:color w:val="auto"/>
        </w:rPr>
        <w:t>” means the Bank of England’s website, currently at http://www.bankofengland.co.uk, or any successor source for the Sterling Overnight Index Average identified as such by the SONIA Administrator from time to time.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Ancillary Obligations</w:t>
      </w:r>
      <w:r>
        <w:rPr>
          <w:rFonts w:ascii="Times New Roman" w:cs="Times New Roman" w:eastAsia="Times New Roman" w:hAnsi="Times New Roman"/>
          <w:sz w:val="20"/>
          <w:szCs w:val="20"/>
          <w:color w:val="auto"/>
        </w:rPr>
        <w:t>” means all obligations and liabilities (including interest and fees accruing during the pendency of any bankruptcy, insolvency,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in respect of any Swap Agreement Obligations or any Banking Services Obligations.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Statement</w:t>
      </w:r>
      <w:r>
        <w:rPr>
          <w:rFonts w:ascii="Times New Roman" w:cs="Times New Roman" w:eastAsia="Times New Roman" w:hAnsi="Times New Roman"/>
          <w:sz w:val="20"/>
          <w:szCs w:val="20"/>
          <w:color w:val="auto"/>
        </w:rPr>
        <w:t>” has the meaning assigned to such term in Section 2.18(f).</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Statutory Reserve Rate</w:t>
      </w:r>
      <w:r>
        <w:rPr>
          <w:rFonts w:ascii="Times New Roman" w:cs="Times New Roman" w:eastAsia="Times New Roman" w:hAnsi="Times New Roman"/>
          <w:sz w:val="20"/>
          <w:szCs w:val="20"/>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AUD Rate or Adjusted NZD Rate, as applicable, for eurocurrency funding (currently referred to as “Eurocurrency liabilities” in Regulation D) or any other reserve ratio or analogous requirement of any central banking or financial regulatory authority imposed in respect of the maintenance of the Revolving Commitments or the funding of the Loans. Such reserve percentage shall include those imposed pursuant to Regulation D. Term Benchmark Loans shall be deemed to constitute eurocurrency funding and to be subject to such reserve requirements without benefit of or credit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proration, exemptions or offsets that may be available from time to time to any Lender under Regulation D or any comparable regulation.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Statutory Reserve Rate shall be adjusted automatically on and as of the effective date of any change in any reserve percentage.</w:t>
      </w:r>
    </w:p>
    <w:p>
      <w:pPr>
        <w:spacing w:after="0" w:line="20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of a Person means any Indebtedness of such Person, the payment of which is subordinated to payment of the Secured Obligations to the written satisfaction of the Administrative Agent.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direct or indirect subsidiary of the Borrower or of any other Loan Party, as applicable.</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means the Borrower’s Material Subsidiaries party hereto as Subsidiary Guarantors as of the Effective Date and any other Material Subsidiary that becomes a party to this Agreement pursuant to a Joinder Agreement.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has the meaning assigned to it in Section 9.21.</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 Obligations</w:t>
      </w:r>
      <w:r>
        <w:rPr>
          <w:rFonts w:ascii="Times New Roman" w:cs="Times New Roman" w:eastAsia="Times New Roman" w:hAnsi="Times New Roman"/>
          <w:sz w:val="20"/>
          <w:szCs w:val="20"/>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under (a) any Swap Agreement permitted hereunder with a Lender or an Affiliate of a Lender, and (b) any cancellations, buy backs, reversals, terminations or assignments of any Swap Agreement transaction permitted hereunder with a Lender or an Affiliate of a Lender.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Loan Guarantor, any obligation to pay or perform under any agreement, contract or transaction that constitutes a “swap” within the meaning of section 1a(47) of the Commodity Exchange Act or any rules or regulations promulgated thereunder.</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its capacity as a Swingline Lender that are outstanding at such time to the extent that the other Lenders shall not have funded their participations in such Swingline Loans), adjusted to give effect to any reallocation under Section 2.20 of the Swingline Exposure of Defaulting Lenders in effect at such time, and (b) in the case of any Lender that is a Swingline Lender, the aggregate principal amount of all Swingline Loans made by such Lender as a Swingline Lender outstanding at such time, less the amount of participations funded by the other Lenders in such Swingline Loans.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Bank of Montreal (or any of its designated branch offices or affiliates), in its capacity as lender of Swingline Loans hereunder. Any consent required of the Issuing Bank shall be deemed to be required of the Swingline Lender and any consent given by Bank of Montreal in its capacity as Issuing Bank shall be deemed given by Bank of Montreal in its capacity as Swingline Lender as well.</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means a Loan made pursuant to Section 2.05. All Swingline Loans shall be denominated in Dollars.</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Syndication Agent</w:t>
      </w:r>
      <w:r>
        <w:rPr>
          <w:rFonts w:ascii="Times New Roman" w:cs="Times New Roman" w:eastAsia="Times New Roman" w:hAnsi="Times New Roman"/>
          <w:sz w:val="20"/>
          <w:szCs w:val="20"/>
          <w:color w:val="auto"/>
        </w:rPr>
        <w:t>” means PNC Bank, National Association and KeyBank, National Association, in their capacity as co-syndication agents for the credit facility evidenced by this Agreement.</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when used in reference to any Loan or Borrowing, refers to whether such Loan, or the Loans comprising such Borrowing, bear interest at a rate determined by reference to the Adjusted Term SOFR Rate, the Adjusted AUD Rate or the Adjusted NZD Rate.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 Reference Rate.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for any day and time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Business Days prior to such Term SOFR Determination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89"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1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Adjusted Term SOFR Rate, the Adjusted AUD Rate, the Adjusted NZD Rate, the Adjusted Daily Simple SONIA Rate, Adjusted Daily Simple SOFR, the Alternate Base Rate or the Central Bank Rate.</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or in any other state, the laws of which are required to be applied in connection with the issue of perfection of security interests.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Institutions</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Unfunded Revolving Commitment</w:t>
      </w:r>
      <w:r>
        <w:rPr>
          <w:rFonts w:ascii="Times New Roman" w:cs="Times New Roman" w:eastAsia="Times New Roman" w:hAnsi="Times New Roman"/>
          <w:sz w:val="20"/>
          <w:szCs w:val="20"/>
          <w:color w:val="auto"/>
        </w:rPr>
        <w:t xml:space="preserve">” means, with respect to each Lender at any time, the Revolving Commitment of such Lender at such time,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its Revolving Exposure at such time.</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Unliquidated Obligations</w:t>
      </w:r>
      <w:r>
        <w:rPr>
          <w:rFonts w:ascii="Times New Roman" w:cs="Times New Roman" w:eastAsia="Times New Roman" w:hAnsi="Times New Roman"/>
          <w:sz w:val="20"/>
          <w:szCs w:val="20"/>
          <w:color w:val="auto"/>
        </w:rPr>
        <w:t>” means, at any time, any Secured Obligations (or portion thereof) that are contingent in nature or unliquidated at such time, including any Secured Obligation that is: (a) an obligation to reimburse a bank for drawings not yet made under a letter of credit issued by it; (b) any other obligation (including any guarantee) that is contingent in nature at such time; or (c) an obligation to provide collateral to secure any of the foregoing types of obligations.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means the United States of America.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 “United States person” within the meaning of Section 7701(a)(30) of the Code.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has the meaning assigned to it in Section 9.21.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has the meaning assigned to such term in Section 2.17(f)(ii)(B)(3).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8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may be classified and referred to by Class</w:t>
      </w:r>
    </w:p>
    <w:p>
      <w:pPr>
        <w:jc w:val="both"/>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“Revolving Loan”) or by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“Term Benchmark Loan”) or by Class and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“Term Benchmark Revolving Loan”). Borrowings also may be classified and referred to by Class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“Revolving Borrowing”) or by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“Term Benchmark</w:t>
      </w:r>
    </w:p>
    <w:p>
      <w:pPr>
        <w:spacing w:after="0" w:line="211" w:lineRule="auto"/>
        <w:rPr>
          <w:sz w:val="20"/>
          <w:szCs w:val="20"/>
          <w:color w:val="auto"/>
        </w:rPr>
      </w:pPr>
      <w:r>
        <w:rPr>
          <w:rFonts w:ascii="Times New Roman" w:cs="Times New Roman" w:eastAsia="Times New Roman" w:hAnsi="Times New Roman"/>
          <w:sz w:val="20"/>
          <w:szCs w:val="20"/>
          <w:color w:val="auto"/>
        </w:rPr>
        <w:t>Borrowing”) or by Class and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“Term Benchmark Revolving Borrowing”).</w:t>
      </w:r>
    </w:p>
    <w:p>
      <w:pPr>
        <w:spacing w:after="0" w:line="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19"/>
          <w:szCs w:val="19"/>
          <w:color w:val="auto"/>
        </w:rPr>
        <w:t xml:space="preserve">1.3 </w:t>
      </w:r>
      <w:r>
        <w:rPr>
          <w:rFonts w:ascii="Times New Roman" w:cs="Times New Roman" w:eastAsia="Times New Roman" w:hAnsi="Times New Roman"/>
          <w:sz w:val="19"/>
          <w:szCs w:val="19"/>
          <w:u w:val="single" w:color="auto"/>
          <w:color w:val="auto"/>
        </w:rPr>
        <w:t>Terms Generally</w:t>
      </w:r>
      <w:r>
        <w:rPr>
          <w:rFonts w:ascii="Times New Roman" w:cs="Times New Roman" w:eastAsia="Times New Roman" w:hAnsi="Times New Roman"/>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w:t>
      </w:r>
    </w:p>
    <w:p>
      <w:pPr>
        <w:spacing w:after="0" w:line="222" w:lineRule="auto"/>
        <w:rPr>
          <w:sz w:val="20"/>
          <w:szCs w:val="20"/>
          <w:color w:val="auto"/>
        </w:rPr>
      </w:pPr>
      <w:r>
        <w:rPr>
          <w:rFonts w:ascii="Times New Roman" w:cs="Times New Roman" w:eastAsia="Times New Roman" w:hAnsi="Times New Roman"/>
          <w:sz w:val="19"/>
          <w:szCs w:val="19"/>
          <w:color w:val="auto"/>
        </w:rPr>
        <w:t>“includes” and “including” shall be deemed to be followed by the phrase “without limitation”. The word “law” shall be construed as referring</w:t>
      </w:r>
    </w:p>
    <w:p>
      <w:pPr>
        <w:jc w:val="both"/>
        <w:spacing w:after="0" w:line="204" w:lineRule="auto"/>
        <w:rPr>
          <w:sz w:val="20"/>
          <w:szCs w:val="20"/>
          <w:color w:val="auto"/>
        </w:rPr>
      </w:pPr>
      <w:r>
        <w:rPr>
          <w:rFonts w:ascii="Times New Roman" w:cs="Times New Roman" w:eastAsia="Times New Roman" w:hAnsi="Times New Roman"/>
          <w:sz w:val="20"/>
          <w:szCs w:val="20"/>
          <w:color w:val="auto"/>
        </w:rPr>
        <w:t>to all statutes, rules, regulations, codes and other laws (including official rulings and interpretations thereunder having the force of law or with which affected Persons customarily comply) and all judgments, orders and decrees of all Governmental Authorities. The word “will”</w:t>
      </w:r>
    </w:p>
    <w:p>
      <w:pPr>
        <w:spacing w:after="0" w:line="211" w:lineRule="auto"/>
        <w:rPr>
          <w:sz w:val="20"/>
          <w:szCs w:val="20"/>
          <w:color w:val="auto"/>
        </w:rPr>
      </w:pPr>
      <w:r>
        <w:rPr>
          <w:rFonts w:ascii="Times New Roman" w:cs="Times New Roman" w:eastAsia="Times New Roman" w:hAnsi="Times New Roman"/>
          <w:sz w:val="20"/>
          <w:szCs w:val="20"/>
          <w:color w:val="auto"/>
        </w:rPr>
        <w:t>shall be construed to have the same meaning and effect as the word “shall”. Unless the context requires otherwise (a) any definition of 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reference to any agreement, instrument or other document herein shall be construed as referring to such agreement, instrument or other document as from time to time amended, restated, supplemented or otherwise modified (subject to any restrictions on such amendments,</w:t>
      </w:r>
    </w:p>
    <w:p>
      <w:pPr>
        <w:spacing w:after="0" w:line="211" w:lineRule="auto"/>
        <w:rPr>
          <w:sz w:val="20"/>
          <w:szCs w:val="20"/>
          <w:color w:val="auto"/>
        </w:rPr>
      </w:pPr>
      <w:r>
        <w:rPr>
          <w:rFonts w:ascii="Times New Roman" w:cs="Times New Roman" w:eastAsia="Times New Roman" w:hAnsi="Times New Roman"/>
          <w:sz w:val="20"/>
          <w:szCs w:val="20"/>
          <w:color w:val="auto"/>
        </w:rPr>
        <w:t>restatements, supplements or modifications set forth herein), (b) any definition of or reference to any statute, rule or regulation shall be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construed as referring thereto as from time to time amended, supplemented or otherwise modified (including by succession of comparable successor laws), (c) any reference herein to any Person shall be construed to include such Person’s successors and assigns (subject to any</w:t>
      </w:r>
    </w:p>
    <w:p>
      <w:pPr>
        <w:spacing w:after="0" w:line="211" w:lineRule="auto"/>
        <w:rPr>
          <w:sz w:val="20"/>
          <w:szCs w:val="20"/>
          <w:color w:val="auto"/>
        </w:rPr>
      </w:pPr>
      <w:r>
        <w:rPr>
          <w:rFonts w:ascii="Times New Roman" w:cs="Times New Roman" w:eastAsia="Times New Roman" w:hAnsi="Times New Roman"/>
          <w:sz w:val="20"/>
          <w:szCs w:val="20"/>
          <w:color w:val="auto"/>
        </w:rPr>
        <w:t>restrictions on assignments set forth herein) and, in the case of any Governmental Authority, any other Governmental Authority that shall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have succeeded to any or all functions thereof, (d) the words “herein”, “hereof” and “hereunder”, and words of similar import, shall be construed to refer to this Agreement in its entirety and not to any particular provision hereof, (e) all references herein to Articles, Sections,</w:t>
      </w:r>
    </w:p>
    <w:p>
      <w:pPr>
        <w:spacing w:after="0" w:line="211" w:lineRule="auto"/>
        <w:rPr>
          <w:sz w:val="20"/>
          <w:szCs w:val="20"/>
          <w:color w:val="auto"/>
        </w:rPr>
      </w:pPr>
      <w:r>
        <w:rPr>
          <w:rFonts w:ascii="Times New Roman" w:cs="Times New Roman" w:eastAsia="Times New Roman" w:hAnsi="Times New Roman"/>
          <w:sz w:val="20"/>
          <w:szCs w:val="20"/>
          <w:color w:val="auto"/>
        </w:rPr>
        <w:t>Exhibits and Schedules shall be construed to refer to Articles and Sections of, and Exhibits and Schedules to, this Agreement, (f) any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reference in any definition to the phrase “at any time” or “for any period” shall refer to the same time or period for all calculations or determinations within such definition, and (g) the words “asset” and “property” shall be construed to have the same meaning and effect and</w:t>
      </w:r>
    </w:p>
    <w:p>
      <w:pPr>
        <w:spacing w:after="0" w:line="211" w:lineRule="auto"/>
        <w:rPr>
          <w:sz w:val="20"/>
          <w:szCs w:val="20"/>
          <w:color w:val="auto"/>
        </w:rPr>
      </w:pPr>
      <w:r>
        <w:rPr>
          <w:rFonts w:ascii="Times New Roman" w:cs="Times New Roman" w:eastAsia="Times New Roman" w:hAnsi="Times New Roman"/>
          <w:sz w:val="20"/>
          <w:szCs w:val="20"/>
          <w:color w:val="auto"/>
        </w:rPr>
        <w:t>to refer to any and all tangible and intangible assets and properties, including cash, securities, accounts and contract rights. As used herein,</w:t>
      </w:r>
    </w:p>
    <w:p>
      <w:pPr>
        <w:spacing w:after="0" w:line="198" w:lineRule="auto"/>
        <w:rPr>
          <w:sz w:val="20"/>
          <w:szCs w:val="20"/>
          <w:color w:val="auto"/>
        </w:rPr>
      </w:pPr>
      <w:r>
        <w:rPr>
          <w:rFonts w:ascii="Times New Roman" w:cs="Times New Roman" w:eastAsia="Times New Roman" w:hAnsi="Times New Roman"/>
          <w:sz w:val="20"/>
          <w:szCs w:val="20"/>
          <w:color w:val="auto"/>
        </w:rPr>
        <w:t>any terms that are defined in the UCC and not otherwise defined herein shall have the meanings ascribed to such terms in the UCC.</w:t>
      </w:r>
    </w:p>
    <w:p>
      <w:pPr>
        <w:ind w:left="660"/>
        <w:spacing w:after="0" w:line="222" w:lineRule="auto"/>
        <w:tabs>
          <w:tab w:leader="none" w:pos="12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Accounting Terms; GAAP</w:t>
      </w:r>
      <w:r>
        <w:rPr>
          <w:rFonts w:ascii="Times New Roman" w:cs="Times New Roman" w:eastAsia="Times New Roman" w:hAnsi="Times New Roman"/>
          <w:sz w:val="19"/>
          <w:szCs w:val="19"/>
          <w:color w:val="auto"/>
        </w:rPr>
        <w:t>.</w:t>
      </w:r>
    </w:p>
    <w:p>
      <w:pPr>
        <w:jc w:val="both"/>
        <w:ind w:firstLine="656"/>
        <w:spacing w:after="0" w:line="216" w:lineRule="auto"/>
        <w:tabs>
          <w:tab w:leader="none" w:pos="1286"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after the date hereof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thereof (or if the Administrative Agent notifies the Borrower that the Required Lenders request an amendment to any provision hereof for</w:t>
      </w:r>
    </w:p>
    <w:p>
      <w:pPr>
        <w:ind w:right="20"/>
        <w:spacing w:after="0" w:line="204" w:lineRule="auto"/>
        <w:rPr>
          <w:sz w:val="20"/>
          <w:szCs w:val="20"/>
          <w:color w:val="auto"/>
        </w:rPr>
      </w:pPr>
      <w:r>
        <w:rPr>
          <w:rFonts w:ascii="Times New Roman" w:cs="Times New Roman" w:eastAsia="Times New Roman" w:hAnsi="Times New Roman"/>
          <w:sz w:val="20"/>
          <w:szCs w:val="20"/>
          <w:color w:val="auto"/>
        </w:rPr>
        <w:t>such purpose), regardless of whether any such notice is given before or after such change in GAAP or in the application thereof, then such provision shall be interpreted on the basis of GAAP as in effect and applied immediately before such change shall have become effective</w:t>
      </w:r>
    </w:p>
    <w:p>
      <w:pPr>
        <w:spacing w:after="0" w:line="211" w:lineRule="auto"/>
        <w:rPr>
          <w:sz w:val="20"/>
          <w:szCs w:val="20"/>
          <w:color w:val="auto"/>
        </w:rPr>
      </w:pPr>
      <w:r>
        <w:rPr>
          <w:rFonts w:ascii="Times New Roman" w:cs="Times New Roman" w:eastAsia="Times New Roman" w:hAnsi="Times New Roman"/>
          <w:sz w:val="20"/>
          <w:szCs w:val="20"/>
          <w:color w:val="auto"/>
        </w:rPr>
        <w:t>until such notice shall have been withdrawn or such provision amended in accordance herewith. Notwithstanding any other provision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contained herein, all terms of an accounting or financial nature used herein shall be construed, and all computations of amounts and ratios referred to herein shall be made (i) without giving effect to any election under Financial Accounting Standards Board Accounting Standards</w:t>
      </w:r>
    </w:p>
    <w:p>
      <w:pPr>
        <w:spacing w:after="0" w:line="211" w:lineRule="auto"/>
        <w:rPr>
          <w:sz w:val="20"/>
          <w:szCs w:val="20"/>
          <w:color w:val="auto"/>
        </w:rPr>
      </w:pPr>
      <w:r>
        <w:rPr>
          <w:rFonts w:ascii="Times New Roman" w:cs="Times New Roman" w:eastAsia="Times New Roman" w:hAnsi="Times New Roman"/>
          <w:sz w:val="20"/>
          <w:szCs w:val="20"/>
          <w:color w:val="auto"/>
        </w:rPr>
        <w:t>Codification 825 (or any other Accounting Standards Codification or Financial Accounting Standard having a similar result or effect) to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value any Indebtedness or other liabilities of the Borrower or any Subsidiary at “fair value”, as defined therein and (ii) without giving effect to any treatment of Indebtedness under Financial Accounting Standards Board Accounting Standards Codification 470-20 or 2015-03 (or any</w:t>
      </w:r>
    </w:p>
    <w:p>
      <w:pPr>
        <w:spacing w:after="0" w:line="211" w:lineRule="auto"/>
        <w:rPr>
          <w:sz w:val="20"/>
          <w:szCs w:val="20"/>
          <w:color w:val="auto"/>
        </w:rPr>
      </w:pPr>
      <w:r>
        <w:rPr>
          <w:rFonts w:ascii="Times New Roman" w:cs="Times New Roman" w:eastAsia="Times New Roman" w:hAnsi="Times New Roman"/>
          <w:sz w:val="20"/>
          <w:szCs w:val="20"/>
          <w:color w:val="auto"/>
        </w:rPr>
        <w:t>other Accounting Standards Codification or Financial Accounting Standard having a similar result or effect) to value any such Indebtedness</w:t>
      </w:r>
    </w:p>
    <w:p>
      <w:pPr>
        <w:ind w:right="20"/>
        <w:spacing w:after="0" w:line="221" w:lineRule="auto"/>
        <w:rPr>
          <w:sz w:val="20"/>
          <w:szCs w:val="20"/>
          <w:color w:val="auto"/>
        </w:rPr>
      </w:pPr>
      <w:r>
        <w:rPr>
          <w:rFonts w:ascii="Times New Roman" w:cs="Times New Roman" w:eastAsia="Times New Roman" w:hAnsi="Times New Roman"/>
          <w:sz w:val="20"/>
          <w:szCs w:val="20"/>
          <w:color w:val="auto"/>
        </w:rPr>
        <w:t>in a reduced or bifurcated manner as described therein, and such Indebtedness shall at all times be valued at the full stated principal amount thereof.</w:t>
      </w:r>
    </w:p>
    <w:p>
      <w:pPr>
        <w:spacing w:after="0" w:line="162" w:lineRule="exact"/>
        <w:rPr>
          <w:sz w:val="20"/>
          <w:szCs w:val="20"/>
          <w:color w:val="auto"/>
        </w:rPr>
      </w:pPr>
    </w:p>
    <w:p>
      <w:pPr>
        <w:jc w:val="both"/>
        <w:ind w:firstLine="656"/>
        <w:spacing w:after="0" w:line="216" w:lineRule="auto"/>
        <w:tabs>
          <w:tab w:leader="none" w:pos="1284" w:val="left"/>
        </w:tabs>
        <w:numPr>
          <w:ilvl w:val="0"/>
          <w:numId w:val="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w:t>
      </w:r>
      <w:r>
        <w:rPr>
          <w:rFonts w:ascii="Times New Roman" w:cs="Times New Roman" w:eastAsia="Times New Roman" w:hAnsi="Times New Roman"/>
          <w:sz w:val="20"/>
          <w:szCs w:val="20"/>
          <w:u w:val="single" w:color="auto"/>
          <w:color w:val="auto"/>
        </w:rPr>
        <w:t>FAS 842”</w:t>
      </w:r>
      <w:r>
        <w:rPr>
          <w:rFonts w:ascii="Times New Roman" w:cs="Times New Roman" w:eastAsia="Times New Roman" w:hAnsi="Times New Roman"/>
          <w:sz w:val="20"/>
          <w:szCs w:val="20"/>
          <w:color w:val="auto"/>
        </w:rPr>
        <w:t>),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u w:val="single" w:color="auto"/>
          <w:color w:val="auto"/>
        </w:rPr>
        <w:t>Exchange Rates; Currency Equivalents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8" w:lineRule="auto"/>
        <w:tabs>
          <w:tab w:leader="none" w:pos="1286" w:val="left"/>
        </w:tabs>
        <w:numPr>
          <w:ilvl w:val="0"/>
          <w:numId w:val="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or the Issuing Bank, as applicable, shall determine the Dollar Amounts of Term Benchmark Borrowings or RFR Borrowing or Letter of Credit extensions denominated in Foreign Currencies. Such Dollar Amount shall become effective as of such Revaluation Date and shall be the Dollar Amount of such amounts until the next Revaluation Date to occur. Except for purposes of financial statements delivered by the Borrower hereunder or calculating financial covenants hereunder or except as otherwise provided herein, the applicable amount of any Agreed Currency (other than Dollars) for purposes of the Loan Documents shall be such Dollar Amount as so determined by the Administrative Agent or the Issuing Bank, as applicable.</w:t>
      </w:r>
    </w:p>
    <w:p>
      <w:pPr>
        <w:spacing w:after="0" w:line="150"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284" w:val="left"/>
        </w:tabs>
        <w:numPr>
          <w:ilvl w:val="0"/>
          <w:numId w:val="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Issuing Bank, as the case may be.</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Pro Forma Adjustments</w:t>
      </w:r>
      <w:r>
        <w:rPr>
          <w:rFonts w:ascii="Times New Roman" w:cs="Times New Roman" w:eastAsia="Times New Roman" w:hAnsi="Times New Roman"/>
          <w:sz w:val="20"/>
          <w:szCs w:val="20"/>
          <w:color w:val="auto"/>
        </w:rPr>
        <w:t>. To the extent the Borrower or any Subsidiary (a) makes any Permitted Acquisition or Disposition of assets outside the ordinary course of business permitted by Section 6.05 during the period of four fiscal quarters of the Borrower most</w:t>
      </w:r>
    </w:p>
    <w:p>
      <w:pPr>
        <w:spacing w:after="0" w:line="212" w:lineRule="auto"/>
        <w:rPr>
          <w:sz w:val="20"/>
          <w:szCs w:val="20"/>
          <w:color w:val="auto"/>
        </w:rPr>
      </w:pPr>
      <w:r>
        <w:rPr>
          <w:rFonts w:ascii="Times New Roman" w:cs="Times New Roman" w:eastAsia="Times New Roman" w:hAnsi="Times New Roman"/>
          <w:sz w:val="20"/>
          <w:szCs w:val="20"/>
          <w:color w:val="auto"/>
        </w:rPr>
        <w:t>recently ended or (b) consummates any transaction that requires any pro forma calculation as a condition thereto or in connection therewith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under the terms of this Agreement, then, in each case, (i) the Net Leverage Ratio and Interest Coverage Ratio shall be calculated after giving pro forma effect thereto (including pro forma adjustments arising out of events which are directly attributable to the Acquisition or the</w:t>
      </w:r>
    </w:p>
    <w:p>
      <w:pPr>
        <w:spacing w:after="0" w:line="222" w:lineRule="auto"/>
        <w:rPr>
          <w:sz w:val="20"/>
          <w:szCs w:val="20"/>
          <w:color w:val="auto"/>
        </w:rPr>
      </w:pPr>
      <w:r>
        <w:rPr>
          <w:rFonts w:ascii="Times New Roman" w:cs="Times New Roman" w:eastAsia="Times New Roman" w:hAnsi="Times New Roman"/>
          <w:sz w:val="19"/>
          <w:szCs w:val="19"/>
          <w:color w:val="auto"/>
        </w:rPr>
        <w:t>Disposition of assets, are factually supportable and are expected to have a continuing impact, in each case as determined on a basis consistent</w:t>
      </w:r>
    </w:p>
    <w:p>
      <w:pPr>
        <w:spacing w:after="0" w:line="204" w:lineRule="auto"/>
        <w:rPr>
          <w:sz w:val="20"/>
          <w:szCs w:val="20"/>
          <w:color w:val="auto"/>
        </w:rPr>
      </w:pPr>
      <w:r>
        <w:rPr>
          <w:rFonts w:ascii="Times New Roman" w:cs="Times New Roman" w:eastAsia="Times New Roman" w:hAnsi="Times New Roman"/>
          <w:sz w:val="20"/>
          <w:szCs w:val="20"/>
          <w:color w:val="auto"/>
        </w:rPr>
        <w:t>with Article 11 of Regulation S-X of the Securities Act of 1933, as amended, as interpreted by the SEC, and as certified by a Financial Officer), as if such Acquisition, such Disposition or such other transaction (and any related incurrence, repayment or assumption of</w:t>
      </w:r>
    </w:p>
    <w:p>
      <w:pPr>
        <w:spacing w:after="0" w:line="211" w:lineRule="auto"/>
        <w:rPr>
          <w:sz w:val="20"/>
          <w:szCs w:val="20"/>
          <w:color w:val="auto"/>
        </w:rPr>
      </w:pPr>
      <w:r>
        <w:rPr>
          <w:rFonts w:ascii="Times New Roman" w:cs="Times New Roman" w:eastAsia="Times New Roman" w:hAnsi="Times New Roman"/>
          <w:sz w:val="20"/>
          <w:szCs w:val="20"/>
          <w:color w:val="auto"/>
        </w:rPr>
        <w:t>Indebtedness) had occurred in the first day of such four-quarter period, (ii) unless otherwise expressly required hereunder, such pro forma</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calculation shall be determined by reference to the financial statements for the period of four consecutive fiscal quarters ended on or most recently prior to such calculation for which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have been delivered to the Administrative Agent pursuant to Section 5.01(a) or (b) (or, if prior to the date of the delivery of the</w:t>
      </w:r>
    </w:p>
    <w:p>
      <w:pPr>
        <w:spacing w:after="0" w:line="215" w:lineRule="auto"/>
        <w:rPr>
          <w:sz w:val="20"/>
          <w:szCs w:val="20"/>
          <w:color w:val="auto"/>
        </w:rPr>
      </w:pPr>
      <w:r>
        <w:rPr>
          <w:rFonts w:ascii="Times New Roman" w:cs="Times New Roman" w:eastAsia="Times New Roman" w:hAnsi="Times New Roman"/>
          <w:sz w:val="19"/>
          <w:szCs w:val="19"/>
          <w:color w:val="auto"/>
        </w:rPr>
        <w:t>first financial statements to be delivered pursuant to Section 5.01(a) or (b), the most recent financial statements referred to in Section 3.04(a)) and (iii) any such calculation made by reference to, or requiring pro forma compliance with, any of the financial covenants shall be made by</w:t>
      </w:r>
    </w:p>
    <w:p>
      <w:pPr>
        <w:spacing w:after="0" w:line="211" w:lineRule="auto"/>
        <w:rPr>
          <w:sz w:val="20"/>
          <w:szCs w:val="20"/>
          <w:color w:val="auto"/>
        </w:rPr>
      </w:pPr>
      <w:r>
        <w:rPr>
          <w:rFonts w:ascii="Times New Roman" w:cs="Times New Roman" w:eastAsia="Times New Roman" w:hAnsi="Times New Roman"/>
          <w:sz w:val="20"/>
          <w:szCs w:val="20"/>
          <w:color w:val="auto"/>
        </w:rPr>
        <w:t>reference to the applicable financial covenant levels required under Section 6.12 for the quarter during which such Acquisition, Disposition</w:t>
      </w:r>
    </w:p>
    <w:p>
      <w:pPr>
        <w:spacing w:after="0" w:line="221" w:lineRule="auto"/>
        <w:rPr>
          <w:sz w:val="20"/>
          <w:szCs w:val="20"/>
          <w:color w:val="auto"/>
        </w:rPr>
      </w:pPr>
      <w:r>
        <w:rPr>
          <w:rFonts w:ascii="Times New Roman" w:cs="Times New Roman" w:eastAsia="Times New Roman" w:hAnsi="Times New Roman"/>
          <w:sz w:val="20"/>
          <w:szCs w:val="20"/>
          <w:color w:val="auto"/>
        </w:rPr>
        <w:t>or other transaction was consummated (or, if there is no financial covenant required to be tested during such fiscal quarter, the financial covenant level for the first testing period scheduled to occur after the date of such calculation).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20"/>
          <w:szCs w:val="20"/>
          <w:u w:val="single" w:color="auto"/>
          <w:color w:val="auto"/>
        </w:rPr>
        <w:t>Status of Obligations</w:t>
      </w:r>
      <w:r>
        <w:rPr>
          <w:rFonts w:ascii="Times New Roman" w:cs="Times New Roman" w:eastAsia="Times New Roman" w:hAnsi="Times New Roman"/>
          <w:sz w:val="20"/>
          <w:szCs w:val="20"/>
          <w:color w:val="auto"/>
        </w:rPr>
        <w:t>. In the event that the Borrower or any other Loan Party shall at any time issue or have outstanding any</w:t>
      </w:r>
    </w:p>
    <w:p>
      <w:pPr>
        <w:spacing w:after="0" w:line="215" w:lineRule="auto"/>
        <w:rPr>
          <w:sz w:val="20"/>
          <w:szCs w:val="20"/>
          <w:color w:val="auto"/>
        </w:rPr>
      </w:pPr>
      <w:r>
        <w:rPr>
          <w:rFonts w:ascii="Times New Roman" w:cs="Times New Roman" w:eastAsia="Times New Roman" w:hAnsi="Times New Roman"/>
          <w:sz w:val="19"/>
          <w:szCs w:val="19"/>
          <w:color w:val="auto"/>
        </w:rPr>
        <w:t>Subordinated Indebtedness, the Borrower shall take or cause such other Loan Party to take all such actions as shall be necessary to cause the Secured Obligations to constitute senior indebtedness (however denominated) in respect of such Subordinated Indebtedness and to enable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and the Lenders to have and exercise any payment blockage or other remedies available or potentially available to</w:t>
      </w:r>
    </w:p>
    <w:p>
      <w:pPr>
        <w:spacing w:after="0" w:line="204" w:lineRule="auto"/>
        <w:rPr>
          <w:sz w:val="20"/>
          <w:szCs w:val="20"/>
          <w:color w:val="auto"/>
        </w:rPr>
      </w:pPr>
      <w:r>
        <w:rPr>
          <w:rFonts w:ascii="Times New Roman" w:cs="Times New Roman" w:eastAsia="Times New Roman" w:hAnsi="Times New Roman"/>
          <w:sz w:val="20"/>
          <w:szCs w:val="20"/>
          <w:color w:val="auto"/>
        </w:rPr>
        <w:t>holders of senior indebtedness under the terms of such Subordinated Indebtedness. Without limiting the foregoing, the Secured Obligations are hereby designated as “senior indebtedness” and as “designated senior indebtedness” and words of similar import under and in respect of</w:t>
      </w:r>
    </w:p>
    <w:p>
      <w:pPr>
        <w:spacing w:after="0" w:line="211" w:lineRule="auto"/>
        <w:rPr>
          <w:sz w:val="20"/>
          <w:szCs w:val="20"/>
          <w:color w:val="auto"/>
        </w:rPr>
      </w:pPr>
      <w:r>
        <w:rPr>
          <w:rFonts w:ascii="Times New Roman" w:cs="Times New Roman" w:eastAsia="Times New Roman" w:hAnsi="Times New Roman"/>
          <w:sz w:val="20"/>
          <w:szCs w:val="20"/>
          <w:color w:val="auto"/>
        </w:rPr>
        <w:t>any indenture or other agreement or instrument under which such Subordinated Indebtedness is outstanding and are further given all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other designations as shall be required under the terms of any such Subordinated Indebtedness in order that the Lenders may have and exercise any payment blockage or other remedies available or potentially available to holders of senior indebtedness under the terms of such</w:t>
      </w:r>
    </w:p>
    <w:p>
      <w:pPr>
        <w:spacing w:after="0" w:line="211" w:lineRule="auto"/>
        <w:rPr>
          <w:sz w:val="20"/>
          <w:szCs w:val="20"/>
          <w:color w:val="auto"/>
        </w:rPr>
      </w:pPr>
      <w:r>
        <w:rPr>
          <w:rFonts w:ascii="Times New Roman" w:cs="Times New Roman" w:eastAsia="Times New Roman" w:hAnsi="Times New Roman"/>
          <w:sz w:val="20"/>
          <w:szCs w:val="20"/>
          <w:color w:val="auto"/>
        </w:rPr>
        <w:t>Subordinated Indebtedness.</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u w:val="single" w:color="auto"/>
          <w:color w:val="auto"/>
        </w:rPr>
        <w:t>Interest Rates; Benchmark Notification</w:t>
      </w:r>
      <w:r>
        <w:rPr>
          <w:rFonts w:ascii="Times New Roman" w:cs="Times New Roman" w:eastAsia="Times New Roman" w:hAnsi="Times New Roman"/>
          <w:sz w:val="20"/>
          <w:szCs w:val="20"/>
          <w:color w:val="auto"/>
        </w:rPr>
        <w:t>. The interest rate on a Loan may be derived from an interest rate benchmark that may be discontinued or is, or may in the future become, the subject of regulatory reform. Upon the occurrence of a Benchmark Transition Event,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Section 2.14(b) provides a mechanism for determining an alternative rate of interest. The Administrative Agent does not warrant or accept any responsibility for, and shall not have any liability with respect to, the administration, submission, performance or any other matter related</w:t>
      </w:r>
    </w:p>
    <w:p>
      <w:pPr>
        <w:spacing w:after="0" w:line="211" w:lineRule="auto"/>
        <w:rPr>
          <w:sz w:val="20"/>
          <w:szCs w:val="20"/>
          <w:color w:val="auto"/>
        </w:rPr>
      </w:pPr>
      <w:r>
        <w:rPr>
          <w:rFonts w:ascii="Times New Roman" w:cs="Times New Roman" w:eastAsia="Times New Roman" w:hAnsi="Times New Roman"/>
          <w:sz w:val="20"/>
          <w:szCs w:val="20"/>
          <w:color w:val="auto"/>
        </w:rPr>
        <w:t>to any interest rate used in this Agreement, or with respect to any alternative or successor rate thereto, or replacement rate thereof, including</w:t>
      </w:r>
    </w:p>
    <w:p>
      <w:pPr>
        <w:spacing w:after="0" w:line="215" w:lineRule="auto"/>
        <w:rPr>
          <w:sz w:val="20"/>
          <w:szCs w:val="20"/>
          <w:color w:val="auto"/>
        </w:rPr>
      </w:pPr>
      <w:r>
        <w:rPr>
          <w:rFonts w:ascii="Times New Roman" w:cs="Times New Roman" w:eastAsia="Times New Roman" w:hAnsi="Times New Roman"/>
          <w:sz w:val="19"/>
          <w:szCs w:val="19"/>
          <w:color w:val="auto"/>
        </w:rPr>
        <w:t>without limitation, whether the composition or characteristics of any such alternative, successor or replacement reference rate will be similar to, or produce the same value or economic equivalence of, the existing interest rate being replaced or have the same volume or liquidity as</w:t>
      </w:r>
    </w:p>
    <w:p>
      <w:pPr>
        <w:spacing w:after="0" w:line="211" w:lineRule="auto"/>
        <w:rPr>
          <w:sz w:val="20"/>
          <w:szCs w:val="20"/>
          <w:color w:val="auto"/>
        </w:rPr>
      </w:pPr>
      <w:r>
        <w:rPr>
          <w:rFonts w:ascii="Times New Roman" w:cs="Times New Roman" w:eastAsia="Times New Roman" w:hAnsi="Times New Roman"/>
          <w:sz w:val="20"/>
          <w:szCs w:val="20"/>
          <w:color w:val="auto"/>
        </w:rPr>
        <w:t>did any existing interest rate prior to its discontinuance or unavailability. The Administrative Agent and its affiliates and/or other related</w:t>
      </w:r>
    </w:p>
    <w:p>
      <w:pPr>
        <w:spacing w:after="0" w:line="204" w:lineRule="auto"/>
        <w:rPr>
          <w:sz w:val="20"/>
          <w:szCs w:val="20"/>
          <w:color w:val="auto"/>
        </w:rPr>
      </w:pPr>
      <w:r>
        <w:rPr>
          <w:rFonts w:ascii="Times New Roman" w:cs="Times New Roman" w:eastAsia="Times New Roman" w:hAnsi="Times New Roman"/>
          <w:sz w:val="20"/>
          <w:szCs w:val="20"/>
          <w:color w:val="auto"/>
        </w:rPr>
        <w:t>entities may engage in transactions that affect the calculation of any interest rate used in this Agreement or any alternative, successor or alternative rate (including any Benchmark Replacement) and/or any relevant adjustments thereto, in each case, in a manner adverse to the</w:t>
      </w:r>
    </w:p>
    <w:p>
      <w:pPr>
        <w:spacing w:after="0" w:line="223" w:lineRule="auto"/>
        <w:rPr>
          <w:sz w:val="20"/>
          <w:szCs w:val="20"/>
          <w:color w:val="auto"/>
        </w:rPr>
      </w:pPr>
      <w:r>
        <w:rPr>
          <w:rFonts w:ascii="Times New Roman" w:cs="Times New Roman" w:eastAsia="Times New Roman" w:hAnsi="Times New Roman"/>
          <w:sz w:val="19"/>
          <w:szCs w:val="19"/>
          <w:color w:val="auto"/>
        </w:rPr>
        <w:t>Borrower. The Administrative Agent may select information sources or services in its reasonable discretion to ascertain any interest rate used</w:t>
      </w:r>
    </w:p>
    <w:p>
      <w:pPr>
        <w:jc w:val="both"/>
        <w:spacing w:after="0" w:line="215" w:lineRule="auto"/>
        <w:rPr>
          <w:sz w:val="20"/>
          <w:szCs w:val="20"/>
          <w:color w:val="auto"/>
        </w:rPr>
      </w:pPr>
      <w:r>
        <w:rPr>
          <w:rFonts w:ascii="Times New Roman" w:cs="Times New Roman" w:eastAsia="Times New Roman" w:hAnsi="Times New Roman"/>
          <w:sz w:val="19"/>
          <w:szCs w:val="19"/>
          <w:color w:val="auto"/>
        </w:rPr>
        <w:t>in this Agreement, any component thereof, or rates referenced in the definition thereof, in each case pursuant to the terms of this Agreement, and shall have no liability to the Borrower, any Lender or any other Person or entity for damages of any kind, including direct or indirect,</w:t>
      </w:r>
    </w:p>
    <w:p>
      <w:pPr>
        <w:ind w:right="20"/>
        <w:spacing w:after="0" w:line="228" w:lineRule="auto"/>
        <w:rPr>
          <w:sz w:val="20"/>
          <w:szCs w:val="20"/>
          <w:color w:val="auto"/>
        </w:rPr>
      </w:pPr>
      <w:r>
        <w:rPr>
          <w:rFonts w:ascii="Times New Roman" w:cs="Times New Roman" w:eastAsia="Times New Roman" w:hAnsi="Times New Roman"/>
          <w:sz w:val="20"/>
          <w:szCs w:val="20"/>
          <w:color w:val="auto"/>
        </w:rPr>
        <w:t>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auto"/>
        </w:rPr>
        <w:t>Letter of Credit Amounts</w:t>
      </w:r>
      <w:r>
        <w:rPr>
          <w:rFonts w:ascii="Times New Roman" w:cs="Times New Roman" w:eastAsia="Times New Roman" w:hAnsi="Times New Roman"/>
          <w:sz w:val="20"/>
          <w:szCs w:val="20"/>
          <w:color w:val="auto"/>
        </w:rPr>
        <w:t>. Unless otherwise specified herein, the amount of a Letter of Credit at any time shall be deemed to be the Dollar Amount of the stated amount of such Letter of Credit available to be drawn at such time; provided that with respect to any</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Letter of Credit that, by its terms or the terms of any Letter of Credit Agreement related thereto, provides for one or more automatic increases in the available amount thereof, the amount of such Letter of Credit shall be deemed to be the Dollar Amount maximum amount of such</w:t>
      </w:r>
    </w:p>
    <w:p>
      <w:pPr>
        <w:spacing w:after="0" w:line="211" w:lineRule="auto"/>
        <w:rPr>
          <w:sz w:val="20"/>
          <w:szCs w:val="20"/>
          <w:color w:val="auto"/>
        </w:rPr>
      </w:pPr>
      <w:r>
        <w:rPr>
          <w:rFonts w:ascii="Times New Roman" w:cs="Times New Roman" w:eastAsia="Times New Roman" w:hAnsi="Times New Roman"/>
          <w:sz w:val="20"/>
          <w:szCs w:val="20"/>
          <w:color w:val="auto"/>
        </w:rPr>
        <w:t>Letter of Credit after giving effect to all such increases, whether or not such maximum amount is available to be drawn at such time. For all</w:t>
      </w:r>
    </w:p>
    <w:p>
      <w:pPr>
        <w:ind w:right="20"/>
        <w:spacing w:after="0" w:line="215" w:lineRule="auto"/>
        <w:rPr>
          <w:sz w:val="20"/>
          <w:szCs w:val="20"/>
          <w:color w:val="auto"/>
        </w:rPr>
      </w:pPr>
      <w:r>
        <w:rPr>
          <w:rFonts w:ascii="Times New Roman" w:cs="Times New Roman" w:eastAsia="Times New Roman" w:hAnsi="Times New Roman"/>
          <w:sz w:val="19"/>
          <w:szCs w:val="19"/>
          <w:color w:val="auto"/>
        </w:rPr>
        <w:t>purposes of this Agreement, if on any date of determination a Letter of Credit has expired by its terms but any amount may still be drawn thereunder by reason of the operation of Article 29(a) of the Uniform Customs and Practice for Documentary Credits, International Chamber</w:t>
      </w:r>
    </w:p>
    <w:p>
      <w:pPr>
        <w:spacing w:after="0" w:line="211" w:lineRule="auto"/>
        <w:rPr>
          <w:sz w:val="20"/>
          <w:szCs w:val="20"/>
          <w:color w:val="auto"/>
        </w:rPr>
      </w:pPr>
      <w:r>
        <w:rPr>
          <w:rFonts w:ascii="Times New Roman" w:cs="Times New Roman" w:eastAsia="Times New Roman" w:hAnsi="Times New Roman"/>
          <w:sz w:val="20"/>
          <w:szCs w:val="20"/>
          <w:color w:val="auto"/>
        </w:rPr>
        <w:t>of Commerce Publication No. 600 (or such later version thereof as may be in effect at the applicable time) or Rule 3.13 or Rule 3.14 of the</w:t>
      </w:r>
    </w:p>
    <w:p>
      <w:pPr>
        <w:spacing w:after="0" w:line="215" w:lineRule="auto"/>
        <w:rPr>
          <w:sz w:val="20"/>
          <w:szCs w:val="20"/>
          <w:color w:val="auto"/>
        </w:rPr>
      </w:pPr>
      <w:r>
        <w:rPr>
          <w:rFonts w:ascii="Times New Roman" w:cs="Times New Roman" w:eastAsia="Times New Roman" w:hAnsi="Times New Roman"/>
          <w:sz w:val="19"/>
          <w:szCs w:val="19"/>
          <w:color w:val="auto"/>
        </w:rPr>
        <w:t>International Standby Practices, International Chamber of Commerce Publication No. 590 (or such later version thereof as may be in effect at the applicable time) or similar terms of the Letter of Credit itself, or if compliant documents have been presented but not yet honored, such</w:t>
      </w:r>
    </w:p>
    <w:p>
      <w:pPr>
        <w:spacing w:after="0"/>
        <w:rPr>
          <w:sz w:val="20"/>
          <w:szCs w:val="20"/>
          <w:color w:val="auto"/>
        </w:rPr>
      </w:pPr>
      <w:r>
        <w:rPr>
          <w:rFonts w:ascii="Times New Roman" w:cs="Times New Roman" w:eastAsia="Times New Roman" w:hAnsi="Times New Roman"/>
          <w:sz w:val="20"/>
          <w:szCs w:val="20"/>
          <w:color w:val="auto"/>
        </w:rPr>
        <w:t>Letter of Credit shall be deemed to be “outstanding”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“undrawn” in the amount so remaining available to be paid, and the obligations of the Borrower and each Lender shall remain in full force</w:t>
      </w:r>
    </w:p>
    <w:p>
      <w:pPr>
        <w:spacing w:after="0" w:line="221" w:lineRule="auto"/>
        <w:rPr>
          <w:sz w:val="20"/>
          <w:szCs w:val="20"/>
          <w:color w:val="auto"/>
        </w:rPr>
      </w:pPr>
      <w:r>
        <w:rPr>
          <w:rFonts w:ascii="Times New Roman" w:cs="Times New Roman" w:eastAsia="Times New Roman" w:hAnsi="Times New Roman"/>
          <w:sz w:val="20"/>
          <w:szCs w:val="20"/>
          <w:color w:val="auto"/>
        </w:rPr>
        <w:t>and effect until the Issuing Bank and the Lenders shall have no further obligations to make any payments or disbursements under any circumstances with respect to any Letter of Credit.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Loan Documents, in connection with any division or plan of division under Delaware</w:t>
      </w:r>
    </w:p>
    <w:p>
      <w:pPr>
        <w:spacing w:after="0" w:line="204" w:lineRule="auto"/>
        <w:rPr>
          <w:sz w:val="20"/>
          <w:szCs w:val="20"/>
          <w:color w:val="auto"/>
        </w:rPr>
      </w:pPr>
      <w:r>
        <w:rPr>
          <w:rFonts w:ascii="Times New Roman" w:cs="Times New Roman" w:eastAsia="Times New Roman" w:hAnsi="Times New Roman"/>
          <w:sz w:val="20"/>
          <w:szCs w:val="20"/>
          <w:color w:val="auto"/>
        </w:rPr>
        <w:t>law (or any comparable event under a different jurisdiction’s laws): (a) if any asset, right, obligation or liability of any Person becomes the asset, right, obligation or liability of a different Person, then it shall be deemed to have been transferred from the original Person to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subsequent Person, and (b) if any new Person comes into existence, such new Person shall be deemed to have been organized and acquired on the first date of its existence by the holders of its Equity Interests at such time.</w:t>
      </w:r>
    </w:p>
    <w:p>
      <w:pPr>
        <w:spacing w:after="0" w:line="14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Conversion of Non-Global Revolving Commitments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52" w:lineRule="auto"/>
        <w:tabs>
          <w:tab w:leader="none" w:pos="118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to the contrary, (i) any Non-Global Lender holding a Non-Global Revolving Commitment may elect, which election shall be irrevocable, to convert all (but not a portion) of such Non-Global Lender’s Non-Global Revolving Commitment to a Global Revolving Commitment by providing written notice of such irrevocable election to the Borrower and the Administrative Agent, which written notice shall confirm that such Lender is able to fund Revolving Loans and participations in Letters of Credit in all of the Agreed Currencies then in effect in accordance with the provisions of this Agreement and (ii) any permitted assignee of a Non-Global Lender may elect, which election shall be irrevocable, to assume all (but not a portion) of the Non-Global Revolving Commitment of such assigning Lender as a Global Revolving Commitment as elected by such assignee in writing in the applicable Assignment and Assumption or any other form acceptable to the Administrative Agent (any such election notice described in any of the foregoing clauses (i) and (ii) with respect to any Non-Global Lender, a “</w:t>
      </w:r>
      <w:r>
        <w:rPr>
          <w:rFonts w:ascii="Times New Roman" w:cs="Times New Roman" w:eastAsia="Times New Roman" w:hAnsi="Times New Roman"/>
          <w:sz w:val="20"/>
          <w:szCs w:val="20"/>
          <w:u w:val="single" w:color="auto"/>
          <w:color w:val="auto"/>
        </w:rPr>
        <w:t>Global Conversion Notice</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line="264" w:lineRule="auto"/>
        <w:tabs>
          <w:tab w:leader="none" w:pos="1102"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last sentence of this Section 1.11(b), but notwithstanding any other provisions in this Agreement to the contrary, each of the parties hereto acknowledges and agrees that, upon receipt by the Borrower and the Administrative Agent of the Global Conversion Notice of any Lender, (i) such Lender’s Non-Global Revolving Commitment shall irrevocably constitute a Global Revolving Commitment hereunder, (ii) such Lender shall constitute a Global Lender for all purposes hereunder, (iii) such Lender shall make available to the Administrative Agent such amounts in such Foreign Currencies in immediately available funds as the Administrative Agent shall determine, for the benefit of the other Lenders, as being required in order to cause, after giving effect to the conversion of such Revolving Commitment to a Global Revolving Commitment and the use of such amounts to make payments to such other Global Lenders, each Global Lender’s portion of the outstanding Revolving Loans denominated in Foreign Currencies and funded participations in Letters of Credit denominated in Foreign Currencies to equal its Applicable Percentage of such outstanding Revolving Loans and funded participations after giving effect to the conversion of such Non-Global Revolving Commitment to a Global Revolving Commitment, (iv)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(v) the Borrower shall be deemed to have repaid and reborrowed all outstanding Revolving Loans denominated in Foreign Currencies as of the date of any such conversion (with such reborrowing to consist of the Types of Revolving Loans, with related Interest Periods if applicable, specified by the Borrower to the Administrative Agent). The deemed payments made pursuant to clause (v) of the immediately preceding sentence shall be accompanied by payment of all accrued interest on the amount prepaid and, in respect of each Term Benchmark Loan, shall be subject to indemnification by the Borrower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provisions of Section 2.16 if the deemed payment occurs other than on the last day of the related Interest Periods. Notwithstanding anything to the contrary in this Agreement, no Global Conversion Notice shall be effective unless either (x) the Borrower shall have given its prior written consent with respect thereto or (y) the Borrower will not be obligated to make any indemnification payments pursuant to the provisions of Section 2.16 in respect of the outstanding Term Benchmark Loans as described in the prior sentence.</w:t>
      </w:r>
    </w:p>
    <w:p>
      <w:pPr>
        <w:spacing w:after="0" w:line="29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color w:val="010000"/>
        </w:rPr>
        <w:t>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9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Revolving Commitments</w:t>
      </w:r>
      <w:r>
        <w:rPr>
          <w:rFonts w:ascii="Times New Roman" w:cs="Times New Roman" w:eastAsia="Times New Roman" w:hAnsi="Times New Roman"/>
          <w:sz w:val="20"/>
          <w:szCs w:val="20"/>
          <w:color w:val="auto"/>
        </w:rPr>
        <w:t>. Subject to the terms and conditions set forth herein, (x) each Lender severally (and not jointly) agrees to make Revolving Loans to the Borrower denominated in Dollars and (y) each Global Lender severally (and not jointly) agrees to</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make Revolving Loans to the Borrower denominated in Foreign Currencies, in each case, from time to time during the Availability Period in an aggregate principal amount that will not result (after giving effect to any application of proceeds of such Borrowing pursuant to Section</w:t>
      </w:r>
    </w:p>
    <w:p>
      <w:pPr>
        <w:spacing w:after="0" w:line="211" w:lineRule="auto"/>
        <w:rPr>
          <w:sz w:val="20"/>
          <w:szCs w:val="20"/>
          <w:color w:val="auto"/>
        </w:rPr>
      </w:pPr>
      <w:r>
        <w:rPr>
          <w:rFonts w:ascii="Times New Roman" w:cs="Times New Roman" w:eastAsia="Times New Roman" w:hAnsi="Times New Roman"/>
          <w:sz w:val="20"/>
          <w:szCs w:val="20"/>
          <w:color w:val="auto"/>
        </w:rPr>
        <w:t>2.10(a)) in (i) the Dollar Amount of such Lender’s Revolving Exposure exceeding such Lender’s Revolving Commitment, (ii) subject to</w:t>
      </w:r>
    </w:p>
    <w:p>
      <w:pPr>
        <w:jc w:val="both"/>
        <w:spacing w:after="0" w:line="215" w:lineRule="auto"/>
        <w:rPr>
          <w:sz w:val="20"/>
          <w:szCs w:val="20"/>
          <w:color w:val="auto"/>
        </w:rPr>
      </w:pPr>
      <w:r>
        <w:rPr>
          <w:rFonts w:ascii="Times New Roman" w:cs="Times New Roman" w:eastAsia="Times New Roman" w:hAnsi="Times New Roman"/>
          <w:sz w:val="19"/>
          <w:szCs w:val="19"/>
          <w:color w:val="auto"/>
        </w:rPr>
        <w:t>Sections 2.04 and 2.11(b), the Dollar Amount of the Aggregate Revolving Exposure exceeding the aggregate Revolving Commitments or (iii) subject to Sections 2.04 and 2.11(b), the Dollar Amount of the Aggregate Revolving Exposure denominated in Foreign Currencies exceeding</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Foreign Currency Sublimit. Within the foregoing limits and subject to the terms and conditions set forth herein, the Borrower may borrow, prepay and reborrow Revolving Loans.</w:t>
      </w:r>
    </w:p>
    <w:p>
      <w:pPr>
        <w:ind w:left="660"/>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Loans and Borrowings</w:t>
      </w:r>
      <w:r>
        <w:rPr>
          <w:rFonts w:ascii="Times New Roman" w:cs="Times New Roman" w:eastAsia="Times New Roman" w:hAnsi="Times New Roman"/>
          <w:sz w:val="19"/>
          <w:szCs w:val="19"/>
          <w:color w:val="auto"/>
        </w:rPr>
        <w:t>.</w:t>
      </w:r>
    </w:p>
    <w:p>
      <w:pPr>
        <w:jc w:val="both"/>
        <w:ind w:firstLine="656"/>
        <w:spacing w:after="0" w:line="215" w:lineRule="auto"/>
        <w:tabs>
          <w:tab w:leader="none" w:pos="1286"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Loan (other than a Swingline Loan) shall be made as part of a Borrowing consisting of Loans of the same Type and Agreed Currency made by the Lenders ratably in accordance with their respective Revolving Commitments.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Revolving Commitments of the Lenders are several and no Lender shall be responsible for any other Lender’s failure to make Loans as required. Any Swingline Loan shall be made in accordance with the procedures set forth in Section 2.05.</w:t>
      </w:r>
    </w:p>
    <w:p>
      <w:pPr>
        <w:spacing w:after="0" w:line="149" w:lineRule="exact"/>
        <w:rPr>
          <w:rFonts w:ascii="Times New Roman" w:cs="Times New Roman" w:eastAsia="Times New Roman" w:hAnsi="Times New Roman"/>
          <w:sz w:val="20"/>
          <w:szCs w:val="20"/>
          <w:color w:val="010000"/>
        </w:rPr>
      </w:pPr>
    </w:p>
    <w:p>
      <w:pPr>
        <w:jc w:val="both"/>
        <w:ind w:firstLine="656"/>
        <w:spacing w:after="0" w:line="214" w:lineRule="auto"/>
        <w:tabs>
          <w:tab w:leader="none" w:pos="1284"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Section 2.14, each Revolving Borrowing shall be comprised (A) in the case of Borrowings in Dollars, entirely of ABR Loans or Term Benchmark Loans or RFR Loans denominated in Dollars and (B) in the case of Borrowings in any other Agreed Currency, entirely of Term Benchmark Loans or RFR Loans of the same Agreed Currency, in each case, as the Borrower may request in accordance 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Revolving Borrowings made on the Effective Date must be made as ABR Borrowings but may be converted into Term Benchmark Borrowings in accordance with Section 2.08. Each Swingline Loan shall be an ABR Loan or an RFR Loan and, in each case, shall only be made in Dollars.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Borrower to repay such Loan in accordance with the terms of this Agreement.</w:t>
      </w:r>
    </w:p>
    <w:p>
      <w:pPr>
        <w:spacing w:after="0" w:line="152"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86"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At the commencement of each Interest Period for any Term Benchmark Borrowing, such Borrowing shall be in an aggregate amount that is an integral multiple of $1,000,000 and not less than $5,000,000 (or, if such Borrowing is denominated in a Foreign Currency, the Equivalent Amount of such units of such currency). At the time that each ABR Borrowing or RFR Borrowing (other than ABR Borrowings or RFR Borrowings constituting Swingline Loans) is made, such Borrowing shall be in an aggregate amount that is an integral multiple of $1,000,000 and not less than $5,000,000 (or, if such Borrowing is denominated in a Foreign Currency, the Equivalent Amount of such units of such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ABR Revolving Borrowing may be in an aggregate amount that is equal to the entire unused balance of the total Revolving Commitments or that is required to finance the reimbursement of an LC Disbursement as contemplated by Section 2.06(e). Each Swingline Loan shall be in an amount that is an integral multiple of $250,000 and not less than $500,000. Borrowings of more than one Type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 time be more than a total of ten (10) Term Benchmark Borrowings and RFR Borrowings (excluding Swingline Loans constituting RFR Borrowings) outstanding.</w:t>
      </w:r>
    </w:p>
    <w:p>
      <w:pPr>
        <w:spacing w:after="0" w:line="148" w:lineRule="exact"/>
        <w:rPr>
          <w:sz w:val="20"/>
          <w:szCs w:val="20"/>
          <w:color w:val="auto"/>
        </w:rPr>
      </w:pPr>
    </w:p>
    <w:p>
      <w:pPr>
        <w:ind w:firstLine="656"/>
        <w:spacing w:after="0"/>
        <w:tabs>
          <w:tab w:leader="none" w:pos="1284"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 other provision of this Agreement, the Borrower shall not be entitled to request, or to elect to convert or continue, any Borrowing if the Interest Period requested with respect thereto would end after the Revolving Credit Maturity Date.</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Requests for Borrowings</w:t>
      </w:r>
      <w:r>
        <w:rPr>
          <w:rFonts w:ascii="Times New Roman" w:cs="Times New Roman" w:eastAsia="Times New Roman" w:hAnsi="Times New Roman"/>
          <w:sz w:val="20"/>
          <w:szCs w:val="20"/>
          <w:color w:val="auto"/>
        </w:rPr>
        <w:t>. To request a Borrowing, the Borrower shall notify the Administrative Agent of such request by submitting a Borrowing Request signed by a Responsible Officer of the Borrower or through any Electronic System, if arrangements for</w:t>
      </w:r>
    </w:p>
    <w:p>
      <w:pPr>
        <w:spacing w:after="0" w:line="224" w:lineRule="auto"/>
        <w:rPr>
          <w:sz w:val="20"/>
          <w:szCs w:val="20"/>
          <w:color w:val="auto"/>
        </w:rPr>
      </w:pPr>
      <w:r>
        <w:rPr>
          <w:rFonts w:ascii="Times New Roman" w:cs="Times New Roman" w:eastAsia="Times New Roman" w:hAnsi="Times New Roman"/>
          <w:sz w:val="19"/>
          <w:szCs w:val="19"/>
          <w:color w:val="auto"/>
        </w:rPr>
        <w:t>doing so have been approved by the Administrative Agent, (a)(i)(x) in the case of a Term Benchmark Borrowing denominated in Dollars, not</w:t>
      </w:r>
    </w:p>
    <w:p>
      <w:pPr>
        <w:spacing w:after="0" w:line="204" w:lineRule="auto"/>
        <w:rPr>
          <w:sz w:val="20"/>
          <w:szCs w:val="20"/>
          <w:color w:val="auto"/>
        </w:rPr>
      </w:pPr>
      <w:r>
        <w:rPr>
          <w:rFonts w:ascii="Times New Roman" w:cs="Times New Roman" w:eastAsia="Times New Roman" w:hAnsi="Times New Roman"/>
          <w:sz w:val="20"/>
          <w:szCs w:val="20"/>
          <w:color w:val="auto"/>
        </w:rPr>
        <w:t>later than 2:00 p.m., New York City time, three U.S. Government Securities Business Days before the date of the proposed Borrowing or (y) in the case of an RFR Borrowing denominated in Dollars, not later than 2:00 p.m. New York City time, five U.S. Government Securities</w:t>
      </w:r>
    </w:p>
    <w:p>
      <w:pPr>
        <w:spacing w:after="0" w:line="211" w:lineRule="auto"/>
        <w:rPr>
          <w:sz w:val="20"/>
          <w:szCs w:val="20"/>
          <w:color w:val="auto"/>
        </w:rPr>
      </w:pPr>
      <w:r>
        <w:rPr>
          <w:rFonts w:ascii="Times New Roman" w:cs="Times New Roman" w:eastAsia="Times New Roman" w:hAnsi="Times New Roman"/>
          <w:sz w:val="20"/>
          <w:szCs w:val="20"/>
          <w:color w:val="auto"/>
        </w:rPr>
        <w:t>Business Days before the date of the proposed Borrowing, (ii) in the case of a Term Benchmark Borrowing denominated in Australian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Dollars or New Zealand Dollars, not later than 2:00 p.m., New York City time, five Business Days before the date of the proposed Borrowing, and (iii) in the case of an RFR Borrowing denominated in Sterling, not later than 2:00 p.m., New York City time, five RFR</w:t>
      </w:r>
    </w:p>
    <w:p>
      <w:pPr>
        <w:spacing w:after="0" w:line="223" w:lineRule="auto"/>
        <w:rPr>
          <w:sz w:val="20"/>
          <w:szCs w:val="20"/>
          <w:color w:val="auto"/>
        </w:rPr>
      </w:pPr>
      <w:r>
        <w:rPr>
          <w:rFonts w:ascii="Times New Roman" w:cs="Times New Roman" w:eastAsia="Times New Roman" w:hAnsi="Times New Roman"/>
          <w:sz w:val="19"/>
          <w:szCs w:val="19"/>
          <w:color w:val="auto"/>
        </w:rPr>
        <w:t>Business Days before the date of the proposed Borrowing, or (b) in the case of an ABR Borrowing, not later than 11:00 a.m., New York City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time, on the date of the proposed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of an ABR Revolving Borrowing to finance the reimbursement of an LC Disbursement as contemplated by Section 2.06(e) may be given not later than 2:00 p.m., New York City time, on the date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proposed Borrowing. Each such Borrowing Request shall be irrevocable. Each such Borrowing Request shall specify the following information in compliance with Section 2.01:</w:t>
      </w:r>
    </w:p>
    <w:p>
      <w:pPr>
        <w:spacing w:after="0" w:line="1" w:lineRule="exact"/>
        <w:rPr>
          <w:sz w:val="20"/>
          <w:szCs w:val="20"/>
          <w:color w:val="auto"/>
        </w:rPr>
      </w:pPr>
    </w:p>
    <w:p>
      <w:pPr>
        <w:ind w:left="1940" w:hanging="636"/>
        <w:spacing w:after="0"/>
        <w:tabs>
          <w:tab w:leader="none" w:pos="1940"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Agreed Currency and aggregate amount of the requested Borrowing;</w:t>
      </w:r>
    </w:p>
    <w:p>
      <w:pPr>
        <w:spacing w:after="0" w:line="166"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date of such Borrowing, which shall be a Business Day;</w:t>
      </w:r>
    </w:p>
    <w:p>
      <w:pPr>
        <w:spacing w:after="0" w:line="175"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whether such Borrowing is to be an ABR Borrowing, a RFR Borrowing or a Term Benchmark Borrowing;</w:t>
      </w:r>
    </w:p>
    <w:p>
      <w:pPr>
        <w:spacing w:after="0" w:line="188" w:lineRule="exact"/>
        <w:rPr>
          <w:rFonts w:ascii="Times New Roman" w:cs="Times New Roman" w:eastAsia="Times New Roman" w:hAnsi="Times New Roman"/>
          <w:sz w:val="20"/>
          <w:szCs w:val="20"/>
          <w:color w:val="010000"/>
        </w:rPr>
      </w:pPr>
    </w:p>
    <w:p>
      <w:pPr>
        <w:ind w:left="660" w:firstLine="644"/>
        <w:spacing w:after="0"/>
        <w:tabs>
          <w:tab w:leader="none" w:pos="1945"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 Term Benchmark Borrowing, the initial Interest Period to be applicable thereto, which shall be a period contemplated by the definition of the term “Interest Period”; and</w:t>
      </w:r>
    </w:p>
    <w:p>
      <w:pPr>
        <w:spacing w:after="0" w:line="147" w:lineRule="exact"/>
        <w:rPr>
          <w:rFonts w:ascii="Times New Roman" w:cs="Times New Roman" w:eastAsia="Times New Roman" w:hAnsi="Times New Roman"/>
          <w:sz w:val="20"/>
          <w:szCs w:val="20"/>
          <w:color w:val="010000"/>
        </w:rPr>
      </w:pPr>
    </w:p>
    <w:p>
      <w:pPr>
        <w:ind w:left="660" w:right="20" w:firstLine="644"/>
        <w:spacing w:after="0"/>
        <w:tabs>
          <w:tab w:leader="none" w:pos="1944"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location and number of the Borrower’s account to which funds are to be disbursed, which shall comply with the requirements of Section 2.07.</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the avoidance of doubt, any request for a Swingline Loan shall be made in accordance with the procedures set forth in Section 2.05. If no election as to the currency of a Borrowing is specified, then the requested Borrowing shall be made in Dollars. If no election as to the Type of Borrowing is specified, then the requested Borrowing shall be an ABR Borrowing.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2.4 Notwithstanding the foregoing, in no event shall the Borrower be permitted to request pursuant to this Section 2.03, a CBR Loan, or, for any Loans other than Swingline Loans, prior to a Benchmark Transition Event and Benchmark Replacement Date with respect to the Term SOFR Rate, an RFR Loan in Dollars (it being understood and agreed that a Central Bank Rate and Daily Simple SOFR (with respect to any Loan other than a Swingline Loan) shall only apply to the extent provided in Sections 2.08(e) (solely with respect to the Central Bank Rate), 2.14(a) and 2.14(f)).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20"/>
          <w:szCs w:val="20"/>
          <w:u w:val="single" w:color="auto"/>
          <w:color w:val="auto"/>
        </w:rPr>
        <w:t>Determination of Dollar Amounts</w:t>
      </w:r>
      <w:r>
        <w:rPr>
          <w:rFonts w:ascii="Times New Roman" w:cs="Times New Roman" w:eastAsia="Times New Roman" w:hAnsi="Times New Roman"/>
          <w:sz w:val="20"/>
          <w:szCs w:val="20"/>
          <w:color w:val="auto"/>
        </w:rPr>
        <w:t>. The Dollar Amount of all Loans, Borrowings, Letters of Credit and LC Exposure, as</w:t>
      </w:r>
    </w:p>
    <w:p>
      <w:pPr>
        <w:spacing w:after="0" w:line="197" w:lineRule="auto"/>
        <w:rPr>
          <w:sz w:val="20"/>
          <w:szCs w:val="20"/>
          <w:color w:val="auto"/>
        </w:rPr>
      </w:pPr>
      <w:r>
        <w:rPr>
          <w:rFonts w:ascii="Times New Roman" w:cs="Times New Roman" w:eastAsia="Times New Roman" w:hAnsi="Times New Roman"/>
          <w:sz w:val="20"/>
          <w:szCs w:val="20"/>
          <w:color w:val="auto"/>
        </w:rPr>
        <w:t>applicable, denominated in Foreign Currencies hereunder shall be determined on each Revaluation Date as described in Section 1.05.</w:t>
      </w:r>
    </w:p>
    <w:p>
      <w:pPr>
        <w:ind w:left="660"/>
        <w:spacing w:after="0" w:line="222" w:lineRule="auto"/>
        <w:tabs>
          <w:tab w:leader="none" w:pos="12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firstLine="656"/>
        <w:spacing w:after="0" w:line="208" w:lineRule="auto"/>
        <w:tabs>
          <w:tab w:leader="none" w:pos="1286"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the terms and conditions set forth herein, from time to time during the Availability Period, the Swingline Lender may agree, but shall have no obligation, to make Swingline Loans in Dollars to the Borrower, in an aggregate principal amount at any time outstanding that will not result in (i) the aggregate principal amount of outstanding Swingline Loans exceeding $30,000,000, (ii) the Swingline Lender’s Revolving Exposure exceeding its Revolving Commitment, or (iii) the Aggregate Revolving Exposure exceeding the aggregate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To request a Swingline Loan, the Borrower shall submit a written notice to the Administrative Agent of such request by fax or through any Electronic System, if arrangements for doing so have been approved by the Administrative Agent, not later than 3:00 p.m., New York City time, on the day of a proposed Swingline Loan. Each such notice shall be in a form approved by the Administrative Agent, shall be irrevocable and shall specify (i) the requested date (which shall be a Business Day), (ii) amount of the requested Swingline Loan, and (iii) whether such Swingline Loan shall be an ABR Loan or RFR Loan. If no election as to Type is specified, such Swingline Loan shall be an ABR Loan. The Administrative Agent will promptly advise the Swingline Lender of any such notice received from the Borrower. The Swingline Lender shall make each Swingline Loan available to the Borrower, to the extent the Swingline Lender elects to make such Swingline Loan, by means of a credit to the Funding Account(s) (or, in the case of a Swingline Loan made to finance the reimbursement of an LC Disbursement as provided in Section 2.06(e), by remittance to the Issuing Bank, and in the case of repayment of another Loan or fees or expenses as provided by Section 2.18(c), by remittance to the Administrative Agent to be distributed to the Lenders) by 5:00 p.m., New York City time, on the requested date of such Swingline Loan.</w:t>
      </w:r>
    </w:p>
    <w:p>
      <w:pPr>
        <w:spacing w:after="0" w:line="167" w:lineRule="exact"/>
        <w:rPr>
          <w:rFonts w:ascii="Times New Roman" w:cs="Times New Roman" w:eastAsia="Times New Roman" w:hAnsi="Times New Roman"/>
          <w:sz w:val="20"/>
          <w:szCs w:val="20"/>
          <w:color w:val="010000"/>
        </w:rPr>
      </w:pPr>
    </w:p>
    <w:p>
      <w:pPr>
        <w:jc w:val="both"/>
        <w:ind w:firstLine="656"/>
        <w:spacing w:after="0" w:line="221" w:lineRule="auto"/>
        <w:tabs>
          <w:tab w:leader="none" w:pos="1284" w:val="left"/>
        </w:tabs>
        <w:numPr>
          <w:ilvl w:val="0"/>
          <w:numId w:val="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Swingline Lender may by written notice given to the Administrative Agent require the Lenders to acquire participations on such Business Day in all or a portion of the Swingline Loans outstanding. Such notice shall specify the aggregate amount of Swingline Loans in which the Lenders will participate. Promptly upon receipt of such notice, the Administrative Agent will give notice thereof to each Lender, specifying in such notice such Lender’s Applicable Percentage of such Swingline Loan or Loans. Each Lender hereby absolutely and unconditionally agrees, promptly upon receipt of such notice from the Administrative Agent (and in any event, if such notice is received by 2:00 p.m., New York City time, on a Business Day, no later than 5:00 p.m., New York City time on such Business Day and if received after</w:t>
      </w:r>
    </w:p>
    <w:p>
      <w:pPr>
        <w:spacing w:after="0" w:line="2" w:lineRule="exact"/>
        <w:rPr>
          <w:rFonts w:ascii="Times New Roman" w:cs="Times New Roman" w:eastAsia="Times New Roman" w:hAnsi="Times New Roman"/>
          <w:sz w:val="19"/>
          <w:szCs w:val="19"/>
          <w:color w:val="010000"/>
        </w:rPr>
      </w:pPr>
    </w:p>
    <w:p>
      <w:pPr>
        <w:jc w:val="both"/>
        <w:spacing w:after="0" w:line="220" w:lineRule="auto"/>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2:00 p.m., New York City time, “on a Business Day” shall mean no later than 9:00 a.m., New York City time on the immediately succeeding Business Day), to pay to the Administrative Agent in dollars,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Lender shall comply with its obligation under this paragraph by wire transfer in dollars of immediately available funds, in the same manner as provided in Section 2.07 with respect to Revolving Loans made by such Lender (and Section 2.07 shall apply, </w:t>
      </w:r>
      <w:r>
        <w:rPr>
          <w:rFonts w:ascii="Times New Roman" w:cs="Times New Roman" w:eastAsia="Times New Roman" w:hAnsi="Times New Roman"/>
          <w:sz w:val="19"/>
          <w:szCs w:val="19"/>
          <w:u w:val="single" w:color="auto"/>
          <w:color w:val="auto"/>
        </w:rPr>
        <w:t>mutatis mutandis</w:t>
      </w:r>
      <w:r>
        <w:rPr>
          <w:rFonts w:ascii="Times New Roman" w:cs="Times New Roman" w:eastAsia="Times New Roman" w:hAnsi="Times New Roman"/>
          <w:sz w:val="19"/>
          <w:szCs w:val="19"/>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purchase of participations in a Swingline Loan pursuant to this paragraph shall not relieve the Borrower of any default in the payment thereof.</w:t>
      </w:r>
    </w:p>
    <w:p>
      <w:pPr>
        <w:spacing w:after="0" w:line="148" w:lineRule="exact"/>
        <w:rPr>
          <w:sz w:val="20"/>
          <w:szCs w:val="20"/>
          <w:color w:val="auto"/>
        </w:rPr>
      </w:pPr>
    </w:p>
    <w:p>
      <w:pPr>
        <w:jc w:val="both"/>
        <w:ind w:firstLine="656"/>
        <w:spacing w:after="0" w:line="212" w:lineRule="auto"/>
        <w:tabs>
          <w:tab w:leader="none" w:pos="1286" w:val="left"/>
        </w:tabs>
        <w:numPr>
          <w:ilvl w:val="0"/>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69"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84" w:val="left"/>
        </w:tabs>
        <w:numPr>
          <w:ilvl w:val="0"/>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the appointment and acceptance of a successor Swingline Lender, the Swingline Lender may resign as Swingline Lender at any time upon thirty days’ prior written notice to the Administrative Agent, the Borrower and the Lenders, in which case, the Swingline Lender shall be replaced in accordance with Section 2.05(c) above.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jc w:val="both"/>
        <w:ind w:firstLine="656"/>
        <w:spacing w:after="0" w:line="218" w:lineRule="auto"/>
        <w:tabs>
          <w:tab w:leader="none" w:pos="1286"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Subject to the terms and conditions set forth herein, the Borrower may request the Issuing Bank to issue Letters of Credit denominated in Agreed Currencies as the applicant thereof for the support of its or its Subsidiaries’ obligations, in a form reasonably acceptable to the Issuing Bank, at any time and from time to time during the Availability Period.</w:t>
      </w:r>
    </w:p>
    <w:p>
      <w:pPr>
        <w:spacing w:after="0" w:line="147" w:lineRule="exact"/>
        <w:rPr>
          <w:rFonts w:ascii="Times New Roman" w:cs="Times New Roman" w:eastAsia="Times New Roman" w:hAnsi="Times New Roman"/>
          <w:sz w:val="20"/>
          <w:szCs w:val="20"/>
          <w:color w:val="010000"/>
        </w:rPr>
      </w:pPr>
    </w:p>
    <w:p>
      <w:pPr>
        <w:jc w:val="both"/>
        <w:ind w:firstLine="656"/>
        <w:spacing w:after="0" w:line="209" w:lineRule="auto"/>
        <w:tabs>
          <w:tab w:leader="none" w:pos="1284"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 of Issuance, Amendment, Extension; Certain Conditions</w:t>
      </w:r>
      <w:r>
        <w:rPr>
          <w:rFonts w:ascii="Times New Roman" w:cs="Times New Roman" w:eastAsia="Times New Roman" w:hAnsi="Times New Roman"/>
          <w:sz w:val="20"/>
          <w:szCs w:val="20"/>
          <w:color w:val="auto"/>
        </w:rPr>
        <w:t>. To request the issuance of a Letter of Credit (or the amendment or extension of an outstanding Letter of Credit), the Borrower shall hand deliver or fax (or transmit through any Electronic System, if arrangements for doing so have been approved by the Issuing Bank) to the Issuing Bank and the Administrative Agent (reasonably in advance of the requested date of issuance, amendment or extension, but in any event no less than three Business Days)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and Agreed Currency of such Letter of Credit,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Issuing Bank and using such Issuing Bank’s standard form (each, a “</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 shall be deemed to represent and warrant that), after giving effect to such issuance, amendment or extension (i) the Dollar Amount of the aggregate LC Exposure shall not exceed the Overall LC Sublimit, (ii) subject to Sections 2.04 and 2.11(b), the Dollar Amount of the aggregate Revolving Exposure shall not exceed the aggregate Revolving Commitments, (iii) no Lender’s Dollar Amount of Revolving Exposure shall exceed its Revolving Commitment, (iv) subject to Sections 2.04 and 2.11(b), the Dollar Amount of the aggregate Revolving Exposure denominated in Foreign Currencies shall not exceed the Foreign Currency Sublimit.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may from time to time request that an Issuing Bank issue Letters of Credit in excess of its individual Issuing Bank Sublimit in effect at the time of such request, and each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agrees to consider any such request in good faith. Any Letter of Credit so issued by an Issuing Bank in excess of its individual Issuing Bank</w:t>
      </w:r>
    </w:p>
    <w:p>
      <w:pPr>
        <w:spacing w:after="0" w:line="221" w:lineRule="auto"/>
        <w:rPr>
          <w:sz w:val="20"/>
          <w:szCs w:val="20"/>
          <w:color w:val="auto"/>
        </w:rPr>
      </w:pPr>
      <w:r>
        <w:rPr>
          <w:rFonts w:ascii="Times New Roman" w:cs="Times New Roman" w:eastAsia="Times New Roman" w:hAnsi="Times New Roman"/>
          <w:sz w:val="20"/>
          <w:szCs w:val="20"/>
          <w:color w:val="auto"/>
        </w:rPr>
        <w:t>Sublimit then in effect shall nonetheless constitute a Letter of Credit for all purposes of this Agreement, and shall not affect the Issuing Bank Sublimit of any other Issuing Bank, subject to the limitations set forth in clauses (i) through (iii) of this Section 2.06(b).</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Issuing Bank shall not be under any obligation to issue any Letter of Credit if:</w:t>
      </w:r>
    </w:p>
    <w:p>
      <w:pPr>
        <w:spacing w:after="0" w:line="216" w:lineRule="exact"/>
        <w:rPr>
          <w:sz w:val="20"/>
          <w:szCs w:val="20"/>
          <w:color w:val="auto"/>
        </w:rPr>
      </w:pPr>
    </w:p>
    <w:p>
      <w:pPr>
        <w:jc w:val="both"/>
        <w:ind w:firstLine="1304"/>
        <w:spacing w:after="0" w:line="226" w:lineRule="auto"/>
        <w:tabs>
          <w:tab w:leader="none" w:pos="1942" w:val="left"/>
        </w:tabs>
        <w:numPr>
          <w:ilvl w:val="1"/>
          <w:numId w:val="3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request or require that the Issuing Bank refrain from, the issuance of letters of credit generally or such Letter of Credit in particular or shall impose upon the Issuing Bank, then with respect to such Letter of Credit any restriction, reserve or capital requirement (for which the Issuing Bank is not otherwise compensated hereunder) not in effect on the Effective Date, or shall impose upon the Issuing Bank any unreimbursed loss, cost or expense that was not applicable on the Effective Date and that the Issuing Bank in good faith deems material to it; or</w:t>
      </w:r>
    </w:p>
    <w:p>
      <w:pPr>
        <w:spacing w:after="0" w:line="147" w:lineRule="exact"/>
        <w:rPr>
          <w:rFonts w:ascii="Times New Roman" w:cs="Times New Roman" w:eastAsia="Times New Roman" w:hAnsi="Times New Roman"/>
          <w:sz w:val="19"/>
          <w:szCs w:val="19"/>
          <w:color w:val="010000"/>
        </w:rPr>
      </w:pPr>
    </w:p>
    <w:p>
      <w:pPr>
        <w:ind w:left="1960" w:hanging="656"/>
        <w:spacing w:after="0"/>
        <w:tabs>
          <w:tab w:leader="none" w:pos="1960" w:val="left"/>
        </w:tabs>
        <w:numPr>
          <w:ilvl w:val="1"/>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issuance of such Letter of Credit would violate one or more policies of the Issuing Bank applicable to letters of</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credit generally.</w:t>
      </w:r>
    </w:p>
    <w:p>
      <w:pPr>
        <w:spacing w:after="0" w:line="153" w:lineRule="exact"/>
        <w:rPr>
          <w:rFonts w:ascii="Times New Roman" w:cs="Times New Roman" w:eastAsia="Times New Roman" w:hAnsi="Times New Roman"/>
          <w:sz w:val="20"/>
          <w:szCs w:val="20"/>
          <w:color w:val="010000"/>
        </w:rPr>
      </w:pPr>
    </w:p>
    <w:p>
      <w:pPr>
        <w:jc w:val="both"/>
        <w:ind w:firstLine="656"/>
        <w:spacing w:after="0" w:line="218" w:lineRule="auto"/>
        <w:tabs>
          <w:tab w:leader="none" w:pos="1286"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xml:space="preserve">. Each Letter of Credit shall expire (or be subject to termination or non-extension by notice from the Issuing Bank to the beneficiary thereof) at or prior to the close of business on the earlier of (i) the date one year after the date of the issuance of such Letter of Credit (or, in the case of any extension of the expiration thereof, including, without limitation, any automatic extension provision, one year after such extension) and (ii) the date that is five Business Days prior to the Revolving Credit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Letter of Credit with a one-year tenor may provide for the extension thereof for additional one-year periods (which shall in no event extend beyond the date referred to in clause (ii) above).</w:t>
      </w:r>
    </w:p>
    <w:p>
      <w:pPr>
        <w:spacing w:after="0" w:line="150" w:lineRule="exact"/>
        <w:rPr>
          <w:rFonts w:ascii="Times New Roman" w:cs="Times New Roman" w:eastAsia="Times New Roman" w:hAnsi="Times New Roman"/>
          <w:sz w:val="20"/>
          <w:szCs w:val="20"/>
          <w:color w:val="010000"/>
        </w:rPr>
      </w:pPr>
    </w:p>
    <w:p>
      <w:pPr>
        <w:jc w:val="both"/>
        <w:ind w:firstLine="656"/>
        <w:spacing w:after="0" w:line="211" w:lineRule="auto"/>
        <w:tabs>
          <w:tab w:leader="none" w:pos="1284"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By the issuance of a Letter of Credit (or an amendment to a Letter of Credit increasing the amount thereof) and without any further action on the part of the Issuing Bank or the Lenders, the Issuing Bank hereby grants to each Lender holding a Revolving Commitment (in the case of any Letter of Credit denominated in Dollars) or a Global Revolving Commitment (in the case of any Letter of Credit denominated in a Foreign Currency), and each such Lender hereby acquires from the Issuing Bank, a participation in such Letter of Credit equal to such Lender’s Applicable Percentage of the aggregate Dollar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Borrower on the date due as provided in paragraph (e) of this Section, or of any reimbursement payment required to be refunded to the Borrower for any reason, including after the Revolving Credit Maturity Date.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Revolving Commitments, and that each such payment shall be made without any offset, abatement, withholding or reduction whatsoever. For the avoidance of doubt and notwithstanding the foregoing, no Non-Global Lender shall be required to acquire a participation in or to reimburse any LC Disbursement in respect of any Letter of Credit denominated in a Foreign Currency.</w:t>
      </w:r>
    </w:p>
    <w:p>
      <w:pPr>
        <w:spacing w:after="0" w:line="153"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286" w:val="left"/>
        </w:tabs>
        <w:numPr>
          <w:ilvl w:val="0"/>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Reimbursement</w:t>
      </w:r>
      <w:r>
        <w:rPr>
          <w:rFonts w:ascii="Times New Roman" w:cs="Times New Roman" w:eastAsia="Times New Roman" w:hAnsi="Times New Roman"/>
          <w:sz w:val="19"/>
          <w:szCs w:val="19"/>
          <w:color w:val="auto"/>
        </w:rPr>
        <w:t>. If the Issuing Bank shall make any LC Disbursement in respect of a Letter of Credit, the Borrower shall reimburse such LC Disbursement by paying to the Administrative Agent an amount in the currency of such LC Disbursement or in Dollars in the Dollar Amount of such LC Disbursement calculated using the Exchange Rate on the date such LC Disbursement was made equal to such LC Disbursement not later than 2:00 p.m., New York City time, on (i) the Business Day that the Borrower receives notice of such LC Disbursement, if such notice is received prior to 12:00 noon, New York City time, on the day of receipt, or (ii) the Business Day immediately following the day that the Borrower receives such notice, if such notice is received after 12:00 noon, New York City time,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day of receipt;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if such LC Disbursement is denominated in Dollars, the Borrower may, subject to the conditions to</w:t>
      </w:r>
    </w:p>
    <w:p>
      <w:pPr>
        <w:spacing w:after="0" w:line="204" w:lineRule="auto"/>
        <w:rPr>
          <w:sz w:val="20"/>
          <w:szCs w:val="20"/>
          <w:color w:val="auto"/>
        </w:rPr>
      </w:pPr>
      <w:r>
        <w:rPr>
          <w:rFonts w:ascii="Times New Roman" w:cs="Times New Roman" w:eastAsia="Times New Roman" w:hAnsi="Times New Roman"/>
          <w:sz w:val="20"/>
          <w:szCs w:val="20"/>
          <w:color w:val="auto"/>
        </w:rPr>
        <w:t>borrowing set forth herein, request in accordance with Section 2.03 or 2.05 that such payment be financed with an ABR Revolving Borrowing or Swingline Loan in an equivalent amount, or (y) if such LC Disbursement is denominated in a Foreign Currency, the Borrower</w:t>
      </w:r>
    </w:p>
    <w:p>
      <w:pPr>
        <w:spacing w:after="0" w:line="223" w:lineRule="auto"/>
        <w:rPr>
          <w:sz w:val="20"/>
          <w:szCs w:val="20"/>
          <w:color w:val="auto"/>
        </w:rPr>
      </w:pPr>
      <w:r>
        <w:rPr>
          <w:rFonts w:ascii="Times New Roman" w:cs="Times New Roman" w:eastAsia="Times New Roman" w:hAnsi="Times New Roman"/>
          <w:sz w:val="19"/>
          <w:szCs w:val="19"/>
          <w:color w:val="auto"/>
        </w:rPr>
        <w:t>may, subject to the conditions to borrowings set forth herein, request in accordance with Section 2.03 that such payment be converted into an</w:t>
      </w:r>
    </w:p>
    <w:p>
      <w:pPr>
        <w:spacing w:after="0" w:line="204" w:lineRule="auto"/>
        <w:rPr>
          <w:sz w:val="20"/>
          <w:szCs w:val="20"/>
          <w:color w:val="auto"/>
        </w:rPr>
      </w:pPr>
      <w:r>
        <w:rPr>
          <w:rFonts w:ascii="Times New Roman" w:cs="Times New Roman" w:eastAsia="Times New Roman" w:hAnsi="Times New Roman"/>
          <w:sz w:val="20"/>
          <w:szCs w:val="20"/>
          <w:color w:val="auto"/>
        </w:rPr>
        <w:t>Equivalent Amount of an ABR Revolving Borrowing denominated in Dollars in an amount equal to the Dollar Amount of such Foreign Currency and, in each case, to the extent so financed, the Borrower’s obligation to make such payment shall be discharged and replaced by</w:t>
      </w:r>
    </w:p>
    <w:p>
      <w:pPr>
        <w:spacing w:after="0" w:line="223" w:lineRule="auto"/>
        <w:rPr>
          <w:sz w:val="20"/>
          <w:szCs w:val="20"/>
          <w:color w:val="auto"/>
        </w:rPr>
      </w:pPr>
      <w:r>
        <w:rPr>
          <w:rFonts w:ascii="Times New Roman" w:cs="Times New Roman" w:eastAsia="Times New Roman" w:hAnsi="Times New Roman"/>
          <w:sz w:val="19"/>
          <w:szCs w:val="19"/>
          <w:color w:val="auto"/>
        </w:rPr>
        <w:t>the resulting ABR Revolving Borrowing or Swingline Loan. If the Borrower fails to make such payment when due, the Administrative Agent</w:t>
      </w:r>
    </w:p>
    <w:p>
      <w:pPr>
        <w:spacing w:after="0" w:line="204" w:lineRule="auto"/>
        <w:rPr>
          <w:sz w:val="20"/>
          <w:szCs w:val="20"/>
          <w:color w:val="auto"/>
        </w:rPr>
      </w:pPr>
      <w:r>
        <w:rPr>
          <w:rFonts w:ascii="Times New Roman" w:cs="Times New Roman" w:eastAsia="Times New Roman" w:hAnsi="Times New Roman"/>
          <w:sz w:val="20"/>
          <w:szCs w:val="20"/>
          <w:color w:val="auto"/>
        </w:rPr>
        <w:t>shall notify each Lender of the applicable LC Disbursement and the Agreed Currency thereof, the payment then due from the Borrower in respect thereof and such Lender’s Applicable Percentage thereof. Promptly following receipt of such notice, each Lender shall pay to the</w:t>
      </w:r>
    </w:p>
    <w:p>
      <w:pPr>
        <w:spacing w:after="0" w:line="223" w:lineRule="auto"/>
        <w:rPr>
          <w:sz w:val="20"/>
          <w:szCs w:val="20"/>
          <w:color w:val="auto"/>
        </w:rPr>
      </w:pPr>
      <w:r>
        <w:rPr>
          <w:rFonts w:ascii="Times New Roman" w:cs="Times New Roman" w:eastAsia="Times New Roman" w:hAnsi="Times New Roman"/>
          <w:sz w:val="19"/>
          <w:szCs w:val="19"/>
          <w:color w:val="auto"/>
        </w:rPr>
        <w:t>Administrative Agent its Applicable Percentage of the payment then due from the Borrower, in the same manner as provided in Section 2.07</w:t>
      </w:r>
    </w:p>
    <w:p>
      <w:pPr>
        <w:spacing w:after="0" w:line="204" w:lineRule="auto"/>
        <w:rPr>
          <w:sz w:val="20"/>
          <w:szCs w:val="20"/>
          <w:color w:val="auto"/>
        </w:rPr>
      </w:pPr>
      <w:r>
        <w:rPr>
          <w:rFonts w:ascii="Times New Roman" w:cs="Times New Roman" w:eastAsia="Times New Roman" w:hAnsi="Times New Roman"/>
          <w:sz w:val="20"/>
          <w:szCs w:val="20"/>
          <w:color w:val="auto"/>
        </w:rPr>
        <w:t>with respect to Loans made by such Lender in such Agreed Currency (and Section 2.07 shall apply, mutatis mutandis, to the payment obligations of the Lenders), and the Administrative Agent shall promptly pay to the Issuing Bank the amounts so received by it from the</w:t>
      </w:r>
    </w:p>
    <w:p>
      <w:pPr>
        <w:spacing w:after="0" w:line="223" w:lineRule="auto"/>
        <w:rPr>
          <w:sz w:val="20"/>
          <w:szCs w:val="20"/>
          <w:color w:val="auto"/>
        </w:rPr>
      </w:pPr>
      <w:r>
        <w:rPr>
          <w:rFonts w:ascii="Times New Roman" w:cs="Times New Roman" w:eastAsia="Times New Roman" w:hAnsi="Times New Roman"/>
          <w:sz w:val="19"/>
          <w:szCs w:val="19"/>
          <w:color w:val="auto"/>
        </w:rPr>
        <w:t>applicable Lenders; provided that, notwithstanding the foregoing, in the case of any LC Disbursement denominated in a currency that was not</w:t>
      </w:r>
    </w:p>
    <w:p>
      <w:pPr>
        <w:spacing w:after="0" w:line="204" w:lineRule="auto"/>
        <w:rPr>
          <w:sz w:val="20"/>
          <w:szCs w:val="20"/>
          <w:color w:val="auto"/>
        </w:rPr>
      </w:pPr>
      <w:r>
        <w:rPr>
          <w:rFonts w:ascii="Times New Roman" w:cs="Times New Roman" w:eastAsia="Times New Roman" w:hAnsi="Times New Roman"/>
          <w:sz w:val="20"/>
          <w:szCs w:val="20"/>
          <w:color w:val="auto"/>
        </w:rPr>
        <w:t>approved by each Global Lender as a “Foreign Currency” pursuant to the definition thereof and in any other case at the sole discretion of the Issuing Bank, the Global Lenders may, in each such case, make any such payment in Dollars in the Dollar Amount of its Applicable</w:t>
      </w:r>
    </w:p>
    <w:p>
      <w:pPr>
        <w:spacing w:after="0" w:line="211" w:lineRule="auto"/>
        <w:rPr>
          <w:sz w:val="20"/>
          <w:szCs w:val="20"/>
          <w:color w:val="auto"/>
        </w:rPr>
      </w:pPr>
      <w:r>
        <w:rPr>
          <w:rFonts w:ascii="Times New Roman" w:cs="Times New Roman" w:eastAsia="Times New Roman" w:hAnsi="Times New Roman"/>
          <w:sz w:val="20"/>
          <w:szCs w:val="20"/>
          <w:color w:val="auto"/>
        </w:rPr>
        <w:t>Percentage of the applicable LC Disbursement calculated using the Exchange Rate on the date such LC Disbursement was made. Promptly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following receipt by the Administrative Agent of any payment from the Borrower pursuant to this paragraph, the Administrative Agent shall distribute such payment to the Issuing Bank or, to the extent that the Lenders have made payments pursuant to this paragraph to reimburse</w:t>
      </w:r>
    </w:p>
    <w:p>
      <w:pPr>
        <w:spacing w:after="0" w:line="215" w:lineRule="auto"/>
        <w:rPr>
          <w:sz w:val="20"/>
          <w:szCs w:val="20"/>
          <w:color w:val="auto"/>
        </w:rPr>
      </w:pPr>
      <w:r>
        <w:rPr>
          <w:rFonts w:ascii="Times New Roman" w:cs="Times New Roman" w:eastAsia="Times New Roman" w:hAnsi="Times New Roman"/>
          <w:sz w:val="19"/>
          <w:szCs w:val="19"/>
          <w:color w:val="auto"/>
        </w:rPr>
        <w:t>the Issuing Bank, then to the applicable Lenders and the Issuing Bank as their interests may appear. Any payment made by a Lender pursuant to this paragraph to reimburse the Issuing Bank for any LC Disbursement (other than the funding of ABR Revolving Loans or a Swingline</w:t>
      </w:r>
    </w:p>
    <w:p>
      <w:pPr>
        <w:spacing w:after="0" w:line="211" w:lineRule="auto"/>
        <w:rPr>
          <w:sz w:val="20"/>
          <w:szCs w:val="20"/>
          <w:color w:val="auto"/>
        </w:rPr>
      </w:pPr>
      <w:r>
        <w:rPr>
          <w:rFonts w:ascii="Times New Roman" w:cs="Times New Roman" w:eastAsia="Times New Roman" w:hAnsi="Times New Roman"/>
          <w:sz w:val="20"/>
          <w:szCs w:val="20"/>
          <w:color w:val="auto"/>
        </w:rPr>
        <w:t>Loan as contemplated above) shall not constitute a Loan and shall not relieve the Borrower of its obligation to reimburse such LC</w:t>
      </w:r>
    </w:p>
    <w:p>
      <w:pPr>
        <w:spacing w:after="0" w:line="204" w:lineRule="auto"/>
        <w:rPr>
          <w:sz w:val="20"/>
          <w:szCs w:val="20"/>
          <w:color w:val="auto"/>
        </w:rPr>
      </w:pPr>
      <w:r>
        <w:rPr>
          <w:rFonts w:ascii="Times New Roman" w:cs="Times New Roman" w:eastAsia="Times New Roman" w:hAnsi="Times New Roman"/>
          <w:sz w:val="20"/>
          <w:szCs w:val="20"/>
          <w:color w:val="auto"/>
        </w:rPr>
        <w:t>Disbursement. If the Borrower’s reimbursement of, or obligation to reimburse, any amounts in any Foreign Currency would subject the Administrative Agent, the Issuing Bank or any Lender to any stamp duty, ad valorem charge or similar tax that would not be payable if such</w:t>
      </w:r>
    </w:p>
    <w:p>
      <w:pPr>
        <w:spacing w:after="0" w:line="211" w:lineRule="auto"/>
        <w:rPr>
          <w:sz w:val="20"/>
          <w:szCs w:val="20"/>
          <w:color w:val="auto"/>
        </w:rPr>
      </w:pPr>
      <w:r>
        <w:rPr>
          <w:rFonts w:ascii="Times New Roman" w:cs="Times New Roman" w:eastAsia="Times New Roman" w:hAnsi="Times New Roman"/>
          <w:sz w:val="20"/>
          <w:szCs w:val="20"/>
          <w:color w:val="auto"/>
        </w:rPr>
        <w:t>reimbursement were made or required to be made in Dollars, the Borrower shall, at its option, either (x) pay the amount of any such tax</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requested by the Administrative Agent, the Issuing Bank or the relevant Lender or (y) reimburse each LC Disbursement made in such Foreign Currency in Dollars, in an amount equal to the Dollar Amount thereof, calculated using the applicable Exchange Rates, on the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LC Disbursement is made.</w:t>
      </w:r>
    </w:p>
    <w:p>
      <w:pPr>
        <w:spacing w:after="0" w:line="167" w:lineRule="exact"/>
        <w:rPr>
          <w:sz w:val="20"/>
          <w:szCs w:val="20"/>
          <w:color w:val="auto"/>
        </w:rPr>
      </w:pPr>
    </w:p>
    <w:p>
      <w:pPr>
        <w:jc w:val="both"/>
        <w:ind w:firstLine="656"/>
        <w:spacing w:after="0" w:line="210" w:lineRule="auto"/>
        <w:tabs>
          <w:tab w:leader="none" w:pos="1291"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Foreign Currency to the Borrower or any Subsidiary or in the relevant currency markets generally. None of the Administrative Agent, the Lenders or the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the Issuing Bank from liability to the Borrower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extent of any direct damages (as opposed to special, indirect, consequential or punitive damages, claims in respect of which are hereby</w:t>
      </w:r>
    </w:p>
    <w:p>
      <w:pPr>
        <w:spacing w:after="0" w:line="204" w:lineRule="auto"/>
        <w:rPr>
          <w:sz w:val="20"/>
          <w:szCs w:val="20"/>
          <w:color w:val="auto"/>
        </w:rPr>
      </w:pPr>
      <w:r>
        <w:rPr>
          <w:rFonts w:ascii="Times New Roman" w:cs="Times New Roman" w:eastAsia="Times New Roman" w:hAnsi="Times New Roman"/>
          <w:sz w:val="20"/>
          <w:szCs w:val="20"/>
          <w:color w:val="auto"/>
        </w:rPr>
        <w:t>waived by the Borrower to the extent permitted by applicable law) suffered by the Borrower that are caused by the Issuing Bank’s failure to exercise care when determining whether drafts and other documents presented under a Letter of Credit comply with the terms thereof. The</w:t>
      </w:r>
    </w:p>
    <w:p>
      <w:pPr>
        <w:spacing w:after="0" w:line="211" w:lineRule="auto"/>
        <w:rPr>
          <w:sz w:val="20"/>
          <w:szCs w:val="20"/>
          <w:color w:val="auto"/>
        </w:rPr>
      </w:pPr>
      <w:r>
        <w:rPr>
          <w:rFonts w:ascii="Times New Roman" w:cs="Times New Roman" w:eastAsia="Times New Roman" w:hAnsi="Times New Roman"/>
          <w:sz w:val="20"/>
          <w:szCs w:val="20"/>
          <w:color w:val="auto"/>
        </w:rPr>
        <w:t>parties hereto expressly agree that, in the absence of gross negligence or willful misconduct on the part of the Issuing Bank (as finally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determined by a nonappealable judgment of a court of competent jurisdiction), the Issuing Bank shall be deemed to have exercised care in each such determination. In furtherance of the foregoing and without limiting the generality thereof, the parties agree that, with respect to</w:t>
      </w:r>
    </w:p>
    <w:p>
      <w:pPr>
        <w:spacing w:after="0" w:line="223" w:lineRule="auto"/>
        <w:rPr>
          <w:sz w:val="20"/>
          <w:szCs w:val="20"/>
          <w:color w:val="auto"/>
        </w:rPr>
      </w:pPr>
      <w:r>
        <w:rPr>
          <w:rFonts w:ascii="Times New Roman" w:cs="Times New Roman" w:eastAsia="Times New Roman" w:hAnsi="Times New Roman"/>
          <w:sz w:val="19"/>
          <w:szCs w:val="19"/>
          <w:color w:val="auto"/>
        </w:rPr>
        <w:t>documents presented which appear on their face to be in substantial compliance with the terms of a Letter of Credit, the Issuing Bank may, in</w:t>
      </w:r>
    </w:p>
    <w:p>
      <w:pPr>
        <w:spacing w:after="0" w:line="204" w:lineRule="auto"/>
        <w:rPr>
          <w:sz w:val="20"/>
          <w:szCs w:val="20"/>
          <w:color w:val="auto"/>
        </w:rPr>
      </w:pPr>
      <w:r>
        <w:rPr>
          <w:rFonts w:ascii="Times New Roman" w:cs="Times New Roman" w:eastAsia="Times New Roman" w:hAnsi="Times New Roman"/>
          <w:sz w:val="20"/>
          <w:szCs w:val="20"/>
          <w:color w:val="auto"/>
        </w:rPr>
        <w:t>its sole discretion, either accept and make payment upon such documents without responsibility for further investigation, regardless of any notice or information to the contrary, or refuse to accept and make payment upon such documents if such documents are not in strict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compliance with the terms of such Letter of Credit.</w:t>
      </w:r>
    </w:p>
    <w:p>
      <w:pPr>
        <w:spacing w:after="0" w:line="167" w:lineRule="exact"/>
        <w:rPr>
          <w:sz w:val="20"/>
          <w:szCs w:val="20"/>
          <w:color w:val="auto"/>
        </w:rPr>
      </w:pPr>
    </w:p>
    <w:p>
      <w:pPr>
        <w:jc w:val="both"/>
        <w:ind w:firstLine="656"/>
        <w:spacing w:after="0" w:line="216" w:lineRule="auto"/>
        <w:tabs>
          <w:tab w:leader="none" w:pos="1284"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Issuing Bank for any Letter of Credit shall, within the time allowed by applicable law or the specific terms of such Letter of Credit following its receipt thereof, examine all documents purporting to represent a demand for payment under a Letter of Credit. The Issuing Bank shall promptly after such examination notify the Administrative Agent and the Borrower by telephone (confirmed by fax or through Electronic Systems) of such demand for payment and whether the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delay in giving such notice shall not relieve the Borrower of its obligation to reimburse the Issuing Bank and the Lenders with respect to any such LC Disbursement.</w:t>
      </w:r>
    </w:p>
    <w:p>
      <w:pPr>
        <w:spacing w:after="0" w:line="162"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84"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the Issuing Bank shall make any LC Disbursement, then, unless the Borrower shall reimburse such LC Disbursement in full in the applicable currency (or, at the sole discretion of the Issuing Bank, in Dollars in the Dollar Amount of such LC Disbursement calculated using the Exchange Rate on the date such LC Disbursement was made)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and such interest shall be due and payable on the date when such reimbursement is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fails to reimburse such LC Disbursement when due pursuant to paragraph (e) of this Section, then Section 2.13(d) shall apply. Interest accrued pursuant to this paragraph shall be for the account of the Issuing Bank, except that interest accrued on and after the date of payment by any Lender pursuant to paragraph (e) of this Section to reimburse the Issuing Bank shall be for the account of such Lender to the extent of such payment.</w:t>
      </w:r>
    </w:p>
    <w:p>
      <w:pPr>
        <w:spacing w:after="0" w:line="147"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Replacement and Resignation of the Issuing Bank</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jc w:val="both"/>
        <w:ind w:firstLine="1304"/>
        <w:spacing w:after="0" w:line="212" w:lineRule="auto"/>
        <w:tabs>
          <w:tab w:leader="none" w:pos="1942" w:val="left"/>
        </w:tabs>
        <w:numPr>
          <w:ilvl w:val="1"/>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Issuing Bank may be replaced at any time by written agreement among the Borrower, the Administrative Agent, the replaced Issuing Bank and the successor Issuing Bank. The Administrative Agent shall notify the Lenders of any such replacement of the Issuing Bank. At the time any such replacement shall become effective, the Borrower shall pay all unpaid fees accrued for the account of the replaced Issuing Bank pursuant to Section 2.12(b). From and after the effective date of any such replacement, (x) the successor Issuing Bank shall have all the rights and obligations of the replaced Issuing Bank under this Agreement with respect to Letters of Credit to be issued thereafter and (y)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69"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43" w:val="left"/>
        </w:tabs>
        <w:numPr>
          <w:ilvl w:val="1"/>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the appointment and acceptance of a successor Issuing Bank, the Issuing Bank may resign as an Issuing Bank at any time upon thirty days’ prior written notice to the Administrative Agent, the Borrower and the Lenders, in which case, such resigning Issuing Bank shall be replaced in accordance with Section 2.06(i)(i)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76" w:lineRule="exact"/>
        <w:rPr>
          <w:sz w:val="20"/>
          <w:szCs w:val="20"/>
          <w:color w:val="auto"/>
        </w:rPr>
      </w:pPr>
    </w:p>
    <w:p>
      <w:pPr>
        <w:jc w:val="both"/>
        <w:ind w:firstLine="656"/>
        <w:spacing w:after="0" w:line="208" w:lineRule="auto"/>
        <w:tabs>
          <w:tab w:leader="none" w:pos="1294"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Lenders (the “</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xml:space="preserve">”), an amount in cash in Dollars equal to 103% of the Dollar Amount of the LC Exposure as of such date (or, at the sole discretion of the Issuing Bank, in the Equivalent Amount in such other Agreed Currencies calculated using the Exchange Rate on the date such deposit is made) plus any accrued and unpaid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The Borrower also shall deposit cash collateral in accordance with this paragraph as and to the extent required by Section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 shall immediately deposit into the LC Collateral Account an amount in cash in Dollars equal to 103% of the Dollar Amount of such LC Exposure as of such date (or, at the sole discretion of the Issuing Bank, in the Equivalent Amount in such other Agreed Currencies calculated using the Exchange Rate on the date such deposit is made) plus any accrued and unpaid interest thereon. The Administrative Agent shall have exclusive dominion and control, including the exclusive right of withdrawal, over the LC Collateral Account and the Borrower hereby grants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aggregate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(3) Business Days after all such Events of Default have been cured or waived as confirmed in writing by the Administrative Agent.</w:t>
      </w:r>
    </w:p>
    <w:p>
      <w:pPr>
        <w:spacing w:after="0" w:line="180" w:lineRule="exact"/>
        <w:rPr>
          <w:rFonts w:ascii="Times New Roman" w:cs="Times New Roman" w:eastAsia="Times New Roman" w:hAnsi="Times New Roman"/>
          <w:sz w:val="20"/>
          <w:szCs w:val="20"/>
          <w:color w:val="010000"/>
        </w:rPr>
      </w:pPr>
    </w:p>
    <w:p>
      <w:pPr>
        <w:jc w:val="both"/>
        <w:ind w:firstLine="656"/>
        <w:spacing w:after="0" w:line="211" w:lineRule="auto"/>
        <w:tabs>
          <w:tab w:leader="none" w:pos="1284"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Issuing Bank Reports to the Administrative Agent</w:t>
      </w:r>
      <w:r>
        <w:rPr>
          <w:rFonts w:ascii="Times New Roman" w:cs="Times New Roman" w:eastAsia="Times New Roman" w:hAnsi="Times New Roman"/>
          <w:sz w:val="20"/>
          <w:szCs w:val="20"/>
          <w:color w:val="auto"/>
        </w:rPr>
        <w:t>. In the event Bank of Montreal is not the only Issuing Bank, and unless otherwise agreed by the Administrative Agent, each Issuing Bank other than Bank of Montreal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and amendments, all expirations and cancelations and all disbursements and reimbursements, (ii) reasonably prior to the time that such Issuing Bank issues, amends or extends any Letter of Credit, the date of such issuance, amendment or extension, and the stated amount of the Letters of Credit issued, amended or extended by it and outstanding after giving effect to such issuance, amendment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65" w:lineRule="exact"/>
        <w:rPr>
          <w:rFonts w:ascii="Times New Roman" w:cs="Times New Roman" w:eastAsia="Times New Roman" w:hAnsi="Times New Roman"/>
          <w:sz w:val="20"/>
          <w:szCs w:val="20"/>
          <w:color w:val="010000"/>
        </w:rPr>
      </w:pPr>
    </w:p>
    <w:p>
      <w:pPr>
        <w:jc w:val="both"/>
        <w:ind w:right="20" w:firstLine="656"/>
        <w:spacing w:after="0" w:line="222" w:lineRule="auto"/>
        <w:tabs>
          <w:tab w:leader="none" w:pos="1294"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Letters of Credit Issued for Account of Subsidiaries</w:t>
      </w:r>
      <w:r>
        <w:rPr>
          <w:rFonts w:ascii="Times New Roman" w:cs="Times New Roman" w:eastAsia="Times New Roman" w:hAnsi="Times New Roman"/>
          <w:sz w:val="20"/>
          <w:szCs w:val="20"/>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Letter of Credit, the Borrower (i) shall reimburse, indemnify and compensate the applicable Issuing Bank hereunder for such Letter of Credit</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w:t>
      </w:r>
    </w:p>
    <w:p>
      <w:pPr>
        <w:spacing w:after="0" w:line="211" w:lineRule="auto"/>
        <w:rPr>
          <w:sz w:val="20"/>
          <w:szCs w:val="20"/>
          <w:color w:val="auto"/>
        </w:rPr>
      </w:pPr>
      <w:r>
        <w:rPr>
          <w:rFonts w:ascii="Times New Roman" w:cs="Times New Roman" w:eastAsia="Times New Roman" w:hAnsi="Times New Roman"/>
          <w:sz w:val="20"/>
          <w:szCs w:val="20"/>
          <w:color w:val="auto"/>
        </w:rPr>
        <w:t>of such Subsidiary in respect of such Letter of Credit. The Borrower hereby acknowledges that the issuance of such Letters of Credit for its</w:t>
      </w:r>
    </w:p>
    <w:p>
      <w:pPr>
        <w:ind w:right="20"/>
        <w:spacing w:after="0" w:line="221" w:lineRule="auto"/>
        <w:rPr>
          <w:sz w:val="20"/>
          <w:szCs w:val="20"/>
          <w:color w:val="auto"/>
        </w:rPr>
      </w:pPr>
      <w:r>
        <w:rPr>
          <w:rFonts w:ascii="Times New Roman" w:cs="Times New Roman" w:eastAsia="Times New Roman" w:hAnsi="Times New Roman"/>
          <w:sz w:val="20"/>
          <w:szCs w:val="20"/>
          <w:color w:val="auto"/>
        </w:rPr>
        <w:t>Subsidiaries inures to the benefit of the Borrower, and that the Borrower’s business derives substantial benefits from the businesses of such Subsidiaries.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u w:val="single" w:color="auto"/>
          <w:color w:val="auto"/>
        </w:rPr>
        <w:t>Funding of Borrowings</w:t>
      </w:r>
      <w:r>
        <w:rPr>
          <w:rFonts w:ascii="Times New Roman" w:cs="Times New Roman" w:eastAsia="Times New Roman" w:hAnsi="Times New Roman"/>
          <w:sz w:val="19"/>
          <w:szCs w:val="19"/>
          <w:color w:val="auto"/>
        </w:rPr>
        <w:t>.</w:t>
      </w:r>
    </w:p>
    <w:p>
      <w:pPr>
        <w:jc w:val="both"/>
        <w:ind w:firstLine="656"/>
        <w:spacing w:after="0" w:line="210" w:lineRule="auto"/>
        <w:tabs>
          <w:tab w:leader="none" w:pos="1286"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Lender shall make each Loan to be made by such Lender hereunder on the proposed date thereof solely by wire transfer of immediately available funds (i) in the case of Loans denominated in Dollars, by 1:00 p.m., New York City time, to the account of the Administrative Agent most recently designated by it for such purpose by notice to the Lenders in an amount equal to such Lender’s Applicable Percentage and (ii) in the case of each Loan denominated in a Foreign Currency, by 1:00 p.m., New York City time, in the city of the Administrative Agent’s Eurocurrency Payment Office for such currency and at such Eurocurrency Payment Office for such currency in an amount denominated in such currency equal to such Lender’s Applicable Percentage;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Swingline Loans shall be made as provided in Section 2.05. The Administrative Agent will make such Loans available to the Borrower by promptly crediting the funds so received in the aforesaid account of the Administrative Agent to the Funding Account(s);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ABR Revolving Loans made to finance the reimbursement of an LC Disbursement as provided in Section 2.06(e) shall be remitted by the Administrative Agent to the Issuing Bank.</w:t>
      </w:r>
    </w:p>
    <w:p>
      <w:pPr>
        <w:spacing w:after="0" w:line="152"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4" w:val="left"/>
        </w:tabs>
        <w:numPr>
          <w:ilvl w:val="0"/>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2.07 and may, in reliance upon such assumption, make available to the applicable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 provided, that any interest received from the Borrower by the Administrative Agent during the period beginning when the Administrative Agent funded the Borrowing until such Lender pays such amount shall be solely for the account of the Administrative Agent.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u w:val="single" w:color="auto"/>
          <w:color w:val="auto"/>
        </w:rPr>
        <w:t>Interest Elections</w:t>
      </w:r>
      <w:r>
        <w:rPr>
          <w:rFonts w:ascii="Times New Roman" w:cs="Times New Roman" w:eastAsia="Times New Roman" w:hAnsi="Times New Roman"/>
          <w:sz w:val="19"/>
          <w:szCs w:val="19"/>
          <w:color w:val="auto"/>
        </w:rPr>
        <w:t>.</w:t>
      </w:r>
    </w:p>
    <w:p>
      <w:pPr>
        <w:jc w:val="both"/>
        <w:ind w:firstLine="656"/>
        <w:spacing w:after="0" w:line="212" w:lineRule="auto"/>
        <w:tabs>
          <w:tab w:leader="none" w:pos="1286"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Borrowing initially shall be of the Type and Agreed Currency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62"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4"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make an election pursuant to this Section, the Borrower shall notify the Administrative Agent of such election either in writing (delivered by hand or fax) by delivering an Interest Election Request signed by a Responsible Officer of the Borrower or through any Electronic System, if arrangements for doing so have been approved by the Administrative Agent, by the time that a Borrowing Request would be required under Section 2.03 if the Borrower were requesting a Borrowing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Type resulting from such election to be made on the effective date of such election. Each such Interest Election Request shall be</w:t>
      </w:r>
    </w:p>
    <w:p>
      <w:pPr>
        <w:spacing w:after="0" w:line="221" w:lineRule="auto"/>
        <w:rPr>
          <w:sz w:val="20"/>
          <w:szCs w:val="20"/>
          <w:color w:val="auto"/>
        </w:rPr>
      </w:pPr>
      <w:r>
        <w:rPr>
          <w:rFonts w:ascii="Times New Roman" w:cs="Times New Roman" w:eastAsia="Times New Roman" w:hAnsi="Times New Roman"/>
          <w:sz w:val="20"/>
          <w:szCs w:val="20"/>
          <w:color w:val="auto"/>
        </w:rPr>
        <w:t>irrevocable. Notwithstanding any contrary provision herein, this Section shall not be construed to permit the Borrower to (i) change the currency of any Borrowing or (ii) elect an Interest Period for Term Benchmark Loans that does not comply with Section 2.02(d).</w:t>
      </w:r>
    </w:p>
    <w:p>
      <w:pPr>
        <w:spacing w:after="0" w:line="162" w:lineRule="exact"/>
        <w:rPr>
          <w:sz w:val="20"/>
          <w:szCs w:val="20"/>
          <w:color w:val="auto"/>
        </w:rPr>
      </w:pPr>
    </w:p>
    <w:p>
      <w:pPr>
        <w:ind w:firstLine="656"/>
        <w:spacing w:after="0"/>
        <w:tabs>
          <w:tab w:leader="none" w:pos="1286"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Interest Election Request (including requests submitted through any Electronic System) shall specify the following information in compliance with Section 2.02:</w:t>
      </w:r>
    </w:p>
    <w:p>
      <w:pPr>
        <w:spacing w:after="0" w:line="147" w:lineRule="exact"/>
        <w:rPr>
          <w:rFonts w:ascii="Times New Roman" w:cs="Times New Roman" w:eastAsia="Times New Roman" w:hAnsi="Times New Roman"/>
          <w:sz w:val="20"/>
          <w:szCs w:val="20"/>
          <w:color w:val="010000"/>
        </w:rPr>
      </w:pPr>
    </w:p>
    <w:p>
      <w:pPr>
        <w:jc w:val="both"/>
        <w:ind w:left="660" w:firstLine="644"/>
        <w:spacing w:after="0" w:line="230" w:lineRule="auto"/>
        <w:tabs>
          <w:tab w:leader="none" w:pos="1954" w:val="left"/>
        </w:tabs>
        <w:numPr>
          <w:ilvl w:val="1"/>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Agreed Currency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48"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1"/>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effective date of the election made pursuant to such Interest Election Request, which shall be a Business Day;</w:t>
      </w:r>
    </w:p>
    <w:p>
      <w:pPr>
        <w:spacing w:after="0" w:line="188" w:lineRule="exact"/>
        <w:rPr>
          <w:rFonts w:ascii="Times New Roman" w:cs="Times New Roman" w:eastAsia="Times New Roman" w:hAnsi="Times New Roman"/>
          <w:sz w:val="20"/>
          <w:szCs w:val="20"/>
          <w:color w:val="010000"/>
        </w:rPr>
      </w:pPr>
    </w:p>
    <w:p>
      <w:pPr>
        <w:ind w:left="660" w:right="20" w:firstLine="644"/>
        <w:spacing w:after="0"/>
        <w:tabs>
          <w:tab w:leader="none" w:pos="1956" w:val="left"/>
        </w:tabs>
        <w:numPr>
          <w:ilvl w:val="1"/>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whether the resulting Borrowing is to be an ABR Borrowing (in the case of a Borrowing denominated in Dollars), an RFR Borrowing or a Term Benchmark Borrowing; and</w:t>
      </w:r>
    </w:p>
    <w:p>
      <w:pPr>
        <w:spacing w:after="0" w:line="147" w:lineRule="exact"/>
        <w:rPr>
          <w:rFonts w:ascii="Times New Roman" w:cs="Times New Roman" w:eastAsia="Times New Roman" w:hAnsi="Times New Roman"/>
          <w:sz w:val="20"/>
          <w:szCs w:val="20"/>
          <w:color w:val="010000"/>
        </w:rPr>
      </w:pPr>
    </w:p>
    <w:p>
      <w:pPr>
        <w:jc w:val="both"/>
        <w:ind w:left="660" w:firstLine="644"/>
        <w:spacing w:after="0" w:line="230" w:lineRule="auto"/>
        <w:tabs>
          <w:tab w:leader="none" w:pos="1945" w:val="left"/>
        </w:tabs>
        <w:numPr>
          <w:ilvl w:val="1"/>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resulting Borrowing is a Term Benchmark Borrowing, the Interest Period and Agreed Currency to be applicable thereto after giving effect to such election, which Interest Period shall be a period contemplated by the definition of the term “Interest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any such Interest Election Request requests a Term Benchmark Borrowing but does not specify an Interest Period, then the Borrower shall be deemed to have selected an Interest Period of one month’s duration. For the avoidance of doubt, any election of the applicable interest rate on a Swingline Loan shall be made in accordance with the procedures set forth in Section 2.05.</w:t>
      </w:r>
    </w:p>
    <w:p>
      <w:pPr>
        <w:spacing w:after="0" w:line="181" w:lineRule="exact"/>
        <w:rPr>
          <w:sz w:val="20"/>
          <w:szCs w:val="20"/>
          <w:color w:val="auto"/>
        </w:rPr>
      </w:pPr>
    </w:p>
    <w:p>
      <w:pPr>
        <w:jc w:val="both"/>
        <w:ind w:firstLine="656"/>
        <w:spacing w:after="0" w:line="253" w:lineRule="auto"/>
        <w:tabs>
          <w:tab w:leader="none" w:pos="128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in no event shall the Borrower be permitted to request pursuant to this Section 2.08(c) a CBR Loan or, for any Loans other than Swingline Loans, prior to a Benchmark Transition Event and Benchmark Replacement Date with respect to the Term SOFR Rate, an RFR Loan in Dollars (it being understood and agreed that a Central Bank Rate and Daily Simple SOFR (with respect to any Loan other than a Swingline Loan) shall only apply to the extent provided in Sections 2.08(e) (solely with respect to the Central Bank Rate), 2.14(a) and 2.14(f)).</w:t>
      </w:r>
    </w:p>
    <w:p>
      <w:pPr>
        <w:spacing w:after="0" w:line="178" w:lineRule="exact"/>
        <w:rPr>
          <w:rFonts w:ascii="Times New Roman" w:cs="Times New Roman" w:eastAsia="Times New Roman" w:hAnsi="Times New Roman"/>
          <w:sz w:val="20"/>
          <w:szCs w:val="20"/>
          <w:color w:val="auto"/>
        </w:rPr>
      </w:pPr>
    </w:p>
    <w:p>
      <w:pPr>
        <w:ind w:right="20" w:firstLine="656"/>
        <w:spacing w:after="0"/>
        <w:tabs>
          <w:tab w:leader="none" w:pos="1286"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following receipt of an Interest Election Request, the Administrative Agent shall advise each Lender of the details thereof and of such Lender’s portion of each resulting Borrowing.</w:t>
      </w:r>
    </w:p>
    <w:p>
      <w:pPr>
        <w:spacing w:after="0" w:line="147" w:lineRule="exact"/>
        <w:rPr>
          <w:rFonts w:ascii="Times New Roman" w:cs="Times New Roman" w:eastAsia="Times New Roman" w:hAnsi="Times New Roman"/>
          <w:sz w:val="20"/>
          <w:szCs w:val="20"/>
          <w:color w:val="010000"/>
        </w:rPr>
      </w:pPr>
    </w:p>
    <w:p>
      <w:pPr>
        <w:jc w:val="both"/>
        <w:ind w:firstLine="656"/>
        <w:spacing w:after="0" w:line="211" w:lineRule="auto"/>
        <w:tabs>
          <w:tab w:leader="none" w:pos="1291"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Borrower fails to deliver a timely Interest Election Request with respect to a Term Benchmark Revolving Borrowing in Dollars prior to the end of the Interest Period applicable thereto, then, unless such Borrowing is repaid as provided herein, the Borrower shall be deemed to have selected that such Term Benchmark Revolving Borrowing shall automatically be continued as a Term Benchmark Revolving Borrowing with an Interest Period of one month at the end of such Interest Period. If the Borrower fails to deliver a timely and complete Interest Election Request with respect to a Term Benchmark Borrowing in a Foreign Currency prior to the end of the Interest Period therefor, then, unless such Term Benchmark Borrowing is repaid as provided herein, the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Borrower, then, so long as an Event of Default is continuing (i) no outstanding Revolving Borrowing may be converted to or continued as a Term Benchmark Borrowing and (ii) unless repaid, (x) each Term Benchmark Revolving Borrowing and each RFR Borrowing, in each case denominated in Dollars, shall be converted to an ABR Borrowing at the end of the Interest Period applicable thereto and (y) each Term Benchmark Borrowing and each RFR Borrowing, in each case denominated in a Foreign Currency shall bear interest at the Central Bank Rate for the applicable Agreed Currency plus the CBR Spread;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if the Administrative Agent determines (which determination shall be conclusive and binding absent manifest error) that the Central</w:t>
      </w:r>
    </w:p>
    <w:p>
      <w:pPr>
        <w:spacing w:after="0" w:line="204" w:lineRule="auto"/>
        <w:rPr>
          <w:sz w:val="20"/>
          <w:szCs w:val="20"/>
          <w:color w:val="auto"/>
        </w:rPr>
      </w:pPr>
      <w:r>
        <w:rPr>
          <w:rFonts w:ascii="Times New Roman" w:cs="Times New Roman" w:eastAsia="Times New Roman" w:hAnsi="Times New Roman"/>
          <w:sz w:val="20"/>
          <w:szCs w:val="20"/>
          <w:color w:val="auto"/>
        </w:rPr>
        <w:t>Bank Rate for the applicable Agreed Currency cannot be determined, any outstanding affected Term Benchmark Loans denominated in any Agreed Currency other than Dollars shall, at the Borrower’s election, either be (1) converted to an ABR Borrowing denominated in Dollars</w:t>
      </w:r>
    </w:p>
    <w:p>
      <w:pPr>
        <w:spacing w:after="0" w:line="211" w:lineRule="auto"/>
        <w:rPr>
          <w:sz w:val="20"/>
          <w:szCs w:val="20"/>
          <w:color w:val="auto"/>
        </w:rPr>
      </w:pPr>
      <w:r>
        <w:rPr>
          <w:rFonts w:ascii="Times New Roman" w:cs="Times New Roman" w:eastAsia="Times New Roman" w:hAnsi="Times New Roman"/>
          <w:sz w:val="20"/>
          <w:szCs w:val="20"/>
          <w:color w:val="auto"/>
        </w:rPr>
        <w:t>(in an amount equal to the Equivalent Amount of such Foreign Currency) at the end of the Interest Period, as applicable, therefor or (2)</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prepaid at the end of the applicable Interest Period, as applicable, in full;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election is made by the Borrower by the earlier of (A) the date that is three Business Days after receipt by the Borrower of such notice and (B) the last day of the current Interest Period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applicable Term Benchmark Loan, the Borrower shall be deemed to have elected clause (1) above.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Termination and Reduction of Revolving Commitments; Increase in Revolving Commitments; Incremental Term Loans</w:t>
      </w:r>
      <w:r>
        <w:rPr>
          <w:rFonts w:ascii="Times New Roman" w:cs="Times New Roman" w:eastAsia="Times New Roman" w:hAnsi="Times New Roman"/>
          <w:sz w:val="19"/>
          <w:szCs w:val="19"/>
          <w:color w:val="auto"/>
        </w:rPr>
        <w:t>.</w:t>
      </w: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previously terminated, all the Revolving Commitments shall terminate on the Revolving Credit Maturity Date.</w:t>
      </w:r>
    </w:p>
    <w:p>
      <w:pPr>
        <w:spacing w:after="0" w:line="166"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may at any time terminate the Revolving Commitments upon the Payment in Full of the Secured Obligations.</w:t>
      </w:r>
    </w:p>
    <w:p>
      <w:pPr>
        <w:spacing w:after="0" w:line="188"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286"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may at any time and from time to time reduce the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each reduction of the Revolving Commitments shall be in an amount that is an integral multiple of $5,000,000 and not less than $10,000,000 and (ii) the Borrower shall not terminate or reduce the Revolving Commitments if, after giving effect to any concurrent prepayment of the Revolving Loans in accordance with Section 2.11, (x) the Dollar Amount of the aggregate Revolving Exposure would exceed the aggregate Revolving Commitments, (y) the Dollar Amount of the aggregate Revolving Exposure denominated in Foreign Currencies would exceed the Foreign Currency Sublimit or (z) the Dollar Amount of the aggregate Revolving Exposure of any Lender would exceed the Revolving Commitment of such Lender.</w:t>
      </w:r>
    </w:p>
    <w:p>
      <w:pPr>
        <w:spacing w:after="0" w:line="150"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84"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shall notify the Administrative Agent of any election to terminate or reduce the Revolving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of the Revolving Commitments delivered by the Borrower may state that such notice is conditioned upon the effectiveness of other credit facilities or other transactions specified therein, in which case such notice may be revoked by the Borrower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spacing w:after="0" w:line="161" w:lineRule="exact"/>
        <w:rPr>
          <w:rFonts w:ascii="Times New Roman" w:cs="Times New Roman" w:eastAsia="Times New Roman" w:hAnsi="Times New Roman"/>
          <w:sz w:val="20"/>
          <w:szCs w:val="20"/>
          <w:color w:val="010000"/>
        </w:rPr>
      </w:pPr>
    </w:p>
    <w:p>
      <w:pPr>
        <w:jc w:val="both"/>
        <w:ind w:firstLine="656"/>
        <w:spacing w:after="0" w:line="211" w:lineRule="auto"/>
        <w:tabs>
          <w:tab w:leader="none" w:pos="1286"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shall have the right to increase the Revolving Commitments or enter into one or more tranches of term loans (each an “</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xml:space="preserve">”), in each case by obtaining additional Revolving Commitments or participations in such Incremental Term Loans, either from one or more of the Lenders or another lending institution (other than any Ineligible Institution), provided that (i) any such request for an increase or tranche of Incremental Term Loans shall be in a minimum amount of $25,000,000, (ii) [reserved], (iii) after giving effect thereto, the sum of the total of the additional Revolving Commitments and Incremental Term Loans does not exceed the greater of (x) $225,000,000, and (y) the product of (A) 1.5,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(B) Consolidated EBITDA as of the most recently ended fiscal quarter of Borrower for which financial statements have been delivered pursuant to Section 5.01(a) or (b), (iv) the Administrative Agent and, only in the case of any increase in the Revolving Commitments, the Swingline Lender and the Issuing Bank have approved the identity of any such new Lender, such approvals not to be unreasonably withheld, (v) any such new Lender assumes all of the rights and obligations of a “Lender” hereunder, and (vi) the procedures described in Section 2.09(f) have been satisfied. Nothing contained in this Section 2.09 shall constitute, or otherwise be deemed to be, a commitment on the part of any Lender to increase its Revolving Commitment or participate in any tranche of Incremental Term Loans hereunder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76" w:lineRule="exact"/>
        <w:rPr>
          <w:sz w:val="20"/>
          <w:szCs w:val="20"/>
          <w:color w:val="auto"/>
        </w:rPr>
      </w:pPr>
    </w:p>
    <w:p>
      <w:pPr>
        <w:jc w:val="both"/>
        <w:ind w:firstLine="656"/>
        <w:spacing w:after="0" w:line="211" w:lineRule="auto"/>
        <w:tabs>
          <w:tab w:leader="none" w:pos="1291"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a condition precedent to such an increase of the Revolving Commitments or tranche of Incremental Term Loans, the Borrower shall deliver to the Administrative Agent (i) a certificate of each Loan Party signed by an authorized officer of such Loan Party (A) certifying and attaching the resolutions adopted by such Loan Party approving or consenting to such increase or tranche, and (B) in the case of the Borrower, certifying that, before and after giving effect to such increase or tranche, (1) the representations and warranties contained in Article III and the other Loan Documents are true and correct in all material respects (or, with respect to any representation or warranty qualified by materiality, in all respects), except to the extent that such representations and warranties specifically refer to an earlier date, in which case they are true and correct in all material respects (or, with respect to any representation or warranty qualified by materiality, in all respects) as of such earlier date, (2) no Default or Event of Default exists and (3) the Borrower is in compliance (on a pro forma basis, giving effect to any borrowing of Revolving Loans or Incremental Term Loans to occur in connection therewith (which calculation, in the case of any delayed-draw term loans, shall assume that the full tranche of Incremental Term Loans is fully funded on the date of determination)) with the covenants contained in Section 6.12 and (ii) legal opinions and documents consistent with those delivered on the Effective Date, to the extent requested by the Administrative Agent.</w:t>
      </w:r>
    </w:p>
    <w:p>
      <w:pPr>
        <w:spacing w:after="0" w:line="165" w:lineRule="exact"/>
        <w:rPr>
          <w:rFonts w:ascii="Times New Roman" w:cs="Times New Roman" w:eastAsia="Times New Roman" w:hAnsi="Times New Roman"/>
          <w:sz w:val="20"/>
          <w:szCs w:val="20"/>
          <w:color w:val="010000"/>
        </w:rPr>
      </w:pPr>
    </w:p>
    <w:p>
      <w:pPr>
        <w:jc w:val="both"/>
        <w:ind w:firstLine="656"/>
        <w:spacing w:after="0" w:line="231" w:lineRule="auto"/>
        <w:tabs>
          <w:tab w:leader="none" w:pos="1284" w:val="left"/>
        </w:tabs>
        <w:numPr>
          <w:ilvl w:val="0"/>
          <w:numId w:val="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On the effective date of any such increase or tranche of Incremental Term Loans,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except in the case of any Incremental Term Loans, the Borrower shall be deemed to have repaid and reborrowed all outstanding Revolving Loans as of the date of any increase (or addition) in the Revolving Commitments (with such reborrowing to consist of the Types of Revolving Loans, with related Interest Periods if applicable, specified by the Borrower to the Administrative Agent). The deemed payments made pursuant to clause (ii) of the immediately preceding sentence shall be accompanied by payment of all accrued interest on the amount prepaid and, to the extent applicable, shall be subject to indemnification by the Borrower pursuant to the provisions of Section 2.16. The Incremental Term Loans (x) shall rank pari passu in right of payment with the Revolving Loans, (y) shall not mature earlier than the Revolving Credit Maturity Date in effect at such time (but may have amortization prior to such date so long as the weighted average life to maturity of any Incremental Term Loans shall be no shorter than the remaining weighted average life to maturity of any other Incremental Term Loans (if any) outstanding at such time) and (z) shall be treated substantially the same as (and in any event no more favorably than) the Revolving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terms and conditions applicable to any tranche of Incremental Term Loans maturing after the Revolving Credit Maturity Date in effect at such time may provide for material additional or different financial or other covenants or prepayment requirements applicable only during periods after the Revolving Credit Maturity Date and (B) the Incremental Term Loans may be priced differently than the Revolving Loans.</w:t>
      </w:r>
    </w:p>
    <w:p>
      <w:pPr>
        <w:spacing w:after="0" w:line="176" w:lineRule="exact"/>
        <w:rPr>
          <w:rFonts w:ascii="Times New Roman" w:cs="Times New Roman" w:eastAsia="Times New Roman" w:hAnsi="Times New Roman"/>
          <w:sz w:val="19"/>
          <w:szCs w:val="19"/>
          <w:color w:val="010000"/>
        </w:rPr>
      </w:pPr>
    </w:p>
    <w:p>
      <w:pPr>
        <w:jc w:val="both"/>
        <w:ind w:firstLine="656"/>
        <w:spacing w:after="0" w:line="212" w:lineRule="auto"/>
        <w:tabs>
          <w:tab w:leader="none" w:pos="1284"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the foregoing conditions, any Incremental Term Loans or increase in the Revolving Commitments may be made hereunder pursuant to an amendment or restatement (an “</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xml:space="preserve">”) of this Agreement and, as appropriate, the other Loan Documents, executed by the Borrower, each Lender participating in such tranche and the Administrative Agent. The Incremental Facility Amendment may, without the consent of any other Lenders, effect such amendments to this Agreement and the other Loan Documents as may be necessary or appropriate, in the reasonable opinion of the Administrative Agent, to effect the provisions of this Section 2.09 and reflect the applicable Incremental Term Loans and increase in the Revolving Commitments. Within a reasonable time after the effective date of any increase or addition, the Administrative Agent shall, and is hereby authorized and directed to, revise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to reflect such increase or addition and shall distribute such revised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to each of the Lenders and the Borrower, whereupon such revised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shall replace the old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and become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76" w:lineRule="exact"/>
        <w:rPr>
          <w:sz w:val="20"/>
          <w:szCs w:val="20"/>
          <w:color w:val="auto"/>
        </w:rPr>
      </w:pPr>
    </w:p>
    <w:p>
      <w:pPr>
        <w:jc w:val="both"/>
        <w:ind w:firstLine="656"/>
        <w:spacing w:after="0" w:line="220" w:lineRule="auto"/>
        <w:tabs>
          <w:tab w:leader="none" w:pos="1294"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connection with any increase of the Revolving Commitments or Incremental Term Loans pursuant to this Section 2.09, any new lending institution becoming a party hereto shall (i) execute such documents and agreements as the Administrative Agent may reasonably request and (ii) provide to the Administrative Agent, its name, address, tax identification number and/or such other information as shall be necessary for the Administrative Agent to comply with “know your customer” and anti-money laundering rules and regulations, including without limitation, the USA PATRIOT Act.</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w:t>
      </w:r>
    </w:p>
    <w:p>
      <w:pPr>
        <w:jc w:val="both"/>
        <w:ind w:firstLine="656"/>
        <w:spacing w:after="0" w:line="212" w:lineRule="auto"/>
        <w:tabs>
          <w:tab w:leader="none" w:pos="1286"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hereby unconditionally promises to pay in the Agreed Currency in which each Loan is denominated (i) to the Administrative Agent for the account of each Lender the then unpaid principal amount of each Revolving Loan on the Revolving Credit Maturity Date, and (ii) to the Swingline Lender the then unpaid principal amount of each Swingline Loan on the earlier of the Revolving Credit Maturity Date and the fifth Business Day after such Swingline Loan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each date that a Revolving Loan is made, the Borrower shall repay all Swingline Loans then outstanding and the proceeds of any such Revolving Loan shall be applied by the Administrative Agent to repay any Swingline Loans outstanding.</w:t>
      </w:r>
    </w:p>
    <w:p>
      <w:pPr>
        <w:spacing w:after="0" w:line="163"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84"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60"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6"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Agreed Currency and Type thereof and the Interest Period applicable thereto, if any,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48" w:lineRule="exact"/>
        <w:rPr>
          <w:rFonts w:ascii="Times New Roman" w:cs="Times New Roman" w:eastAsia="Times New Roman" w:hAnsi="Times New Roman"/>
          <w:sz w:val="20"/>
          <w:szCs w:val="20"/>
          <w:color w:val="010000"/>
        </w:rPr>
      </w:pPr>
    </w:p>
    <w:p>
      <w:pPr>
        <w:jc w:val="both"/>
        <w:ind w:right="20" w:firstLine="656"/>
        <w:spacing w:after="0" w:line="230" w:lineRule="auto"/>
        <w:tabs>
          <w:tab w:leader="none" w:pos="1284"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entries made in the accounts maintained pursuant to paragraph (b) or (c) of this Section shall be </w:t>
      </w:r>
      <w:r>
        <w:rPr>
          <w:rFonts w:ascii="Times New Roman" w:cs="Times New Roman" w:eastAsia="Times New Roman" w:hAnsi="Times New Roman"/>
          <w:sz w:val="20"/>
          <w:szCs w:val="20"/>
          <w:u w:val="single" w:color="auto"/>
          <w:color w:val="auto"/>
        </w:rPr>
        <w:t>prima facie</w:t>
      </w:r>
      <w:r>
        <w:rPr>
          <w:rFonts w:ascii="Times New Roman" w:cs="Times New Roman" w:eastAsia="Times New Roman" w:hAnsi="Times New Roman"/>
          <w:sz w:val="20"/>
          <w:szCs w:val="20"/>
          <w:color w:val="auto"/>
        </w:rPr>
        <w:t xml:space="preserv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Obligations.</w:t>
      </w:r>
    </w:p>
    <w:p>
      <w:pPr>
        <w:spacing w:after="0" w:line="148"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286"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Prepayment of Loans</w:t>
      </w:r>
      <w:r>
        <w:rPr>
          <w:rFonts w:ascii="Times New Roman" w:cs="Times New Roman" w:eastAsia="Times New Roman" w:hAnsi="Times New Roman"/>
          <w:sz w:val="19"/>
          <w:szCs w:val="19"/>
          <w:color w:val="auto"/>
        </w:rPr>
        <w:t>.</w:t>
      </w:r>
    </w:p>
    <w:p>
      <w:pPr>
        <w:jc w:val="both"/>
        <w:ind w:firstLine="656"/>
        <w:spacing w:after="0" w:line="223" w:lineRule="auto"/>
        <w:tabs>
          <w:tab w:leader="none" w:pos="1286" w:val="left"/>
        </w:tabs>
        <w:numPr>
          <w:ilvl w:val="0"/>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shall have the right at any time and from time to time to prepay any Borrowing in whole or in part without premium or penalty, subject to prior notice in accordance with paragraph (c) of this Section and, if applicable, payment of any break funding expenses under Section 2.16.</w:t>
      </w:r>
    </w:p>
    <w:p>
      <w:pPr>
        <w:spacing w:after="0" w:line="146" w:lineRule="exact"/>
        <w:rPr>
          <w:rFonts w:ascii="Times New Roman" w:cs="Times New Roman" w:eastAsia="Times New Roman" w:hAnsi="Times New Roman"/>
          <w:sz w:val="20"/>
          <w:szCs w:val="20"/>
          <w:color w:val="010000"/>
        </w:rPr>
      </w:pPr>
    </w:p>
    <w:p>
      <w:pPr>
        <w:jc w:val="both"/>
        <w:ind w:firstLine="656"/>
        <w:spacing w:after="0" w:line="214" w:lineRule="auto"/>
        <w:tabs>
          <w:tab w:leader="none" w:pos="1284" w:val="left"/>
        </w:tabs>
        <w:numPr>
          <w:ilvl w:val="0"/>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and on such occasion that, (i) other than as a result of fluctuations in currency exchange rates, (A) the sum of the aggregate principal Dollar Amount of the aggregate Revolving Exposure (calculated, with respect to those Credit Events denominated in Foreign Currencies, as of the most recent Revaluation Date with respect to each such Credit Event) exceeds the aggregate Revolving Commitments or (B) the sum of the aggregate principal Dollar Amount of all of the aggregate outstanding Revolving Exposures denominated in Foreign Currencies (the “</w:t>
      </w:r>
      <w:r>
        <w:rPr>
          <w:rFonts w:ascii="Times New Roman" w:cs="Times New Roman" w:eastAsia="Times New Roman" w:hAnsi="Times New Roman"/>
          <w:sz w:val="20"/>
          <w:szCs w:val="20"/>
          <w:u w:val="single" w:color="auto"/>
          <w:color w:val="auto"/>
        </w:rPr>
        <w:t>Foreign Currency Exposure</w:t>
      </w:r>
      <w:r>
        <w:rPr>
          <w:rFonts w:ascii="Times New Roman" w:cs="Times New Roman" w:eastAsia="Times New Roman" w:hAnsi="Times New Roman"/>
          <w:sz w:val="20"/>
          <w:szCs w:val="20"/>
          <w:color w:val="auto"/>
        </w:rPr>
        <w:t>”) (so calculated), as of the most recent Revaluation Date with respect to each such Credit Event, exceeds the Foreign Currency Sublimit or (ii) solely as a result of fluctuations in currency exchange rates, (A) the Foreign Currency Exposure (so calculated) exceeds 103% of the aggregate Global Revolving Commitments or (B) the Foreign Currency Exposure, as of the most recent Revaluation Date with respect to each such Credit Event, exceeds 103% of the Foreign Currency Sublimit, then the Borrower shall, in each case, within five (5) Business Days following receipt of notice from the Administrative Agent, repay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Revolving Borrowings or cash collateralize any LC Exposure in an account with the Administrative Agent pursuant to Section 2.06(j), as</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applicable, in an aggregate principal amount sufficient to cause (x) the aggregate Dollar Amount of the aggregate Revolving Exposure (so calculated) to be less than or equal to the aggregate Revolving Commitments, (y) the Foreign Currency Exposure (so calculated) to be less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than or equal to the Global Revolving Commitments and (z) the Foreign Currency Exposure (so calculated) to be less than or equal to the Foreign Currency Sublimit, as applicable.</w:t>
      </w:r>
    </w:p>
    <w:p>
      <w:pPr>
        <w:spacing w:after="0" w:line="149" w:lineRule="exact"/>
        <w:rPr>
          <w:sz w:val="20"/>
          <w:szCs w:val="20"/>
          <w:color w:val="auto"/>
        </w:rPr>
      </w:pPr>
    </w:p>
    <w:p>
      <w:pPr>
        <w:jc w:val="both"/>
        <w:ind w:firstLine="656"/>
        <w:spacing w:after="0" w:line="209" w:lineRule="auto"/>
        <w:tabs>
          <w:tab w:leader="none" w:pos="1286"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shall notify the Administrative Agent (and, in the case of prepayment of Swingline Loans, the Swingline Lenders) by telephone (confirmed by telecopy or electronic mail) of any prepayment hereunder (i) (w) in the case of prepayment of (1) a Term Benchmark Revolving Borrowing denominated in Dollars, not later than 2:00 p.m., New York City time, three Business Days before the date of prepayment or (2) an RFR Revolving Borrowing denominated in Dollars, not later than 2:00 p.m. New York City time, five Business Days before the date of prepayment, (x) in the case of prepayment of a Term Benchmark Revolving Borrowing denominated in Australian Dollars or New Zealand Dollars, not later than 3:00 p.m., New York City time, five Business Days before the date of prepayment and (y) in the case of prepayment of an RFR Revolving Borrowing denominated in Pounds Sterling, not later than 2:00 p.m., New York City time, five RFR Business Days before the date of prepayment, (ii) in the case of prepayment of an ABR Revolving Borrowing, not later than 2:00 p.m., New York City time, one Business Day before the date of prepayment, or (iii) in the case of prepayment of a Swingline Loan, not later than 2:00 p.m.,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Revolving Loans included in the prepaid Revolving Borrowing. Prepayments shall be accompanied by accrued interest to the extent required by Section 2.13 and any break funding payments required by Section 2.16.</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jc w:val="both"/>
        <w:ind w:firstLine="656"/>
        <w:spacing w:after="0" w:line="209" w:lineRule="auto"/>
        <w:tabs>
          <w:tab w:leader="none" w:pos="1286"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agrees to pay to the Administrative Agent a commitment fee for the account of each Lender, which shall accrue at the Applicable Rate on the daily amount of the undrawn portion of the Revolving Commitment of such Lender during the period from and including the Effective Date to but excluding the date on which the Lenders’ Revolving Commitments terminate; it being understood that the LC Exposure of a Lender shall be included and the Swingline Exposure of a Lender shall be excluded in the drawn portion of the Revolving Commitment of such Lender for purposes of calculating the commitment fee; provided that, if such Lender continues to have any Revolving Exposure after its Revolving Commitment terminates, then such commitment fee shall continue to accrue on the daily amount of such Lender’s Revolving Exposure from and including the date on which its Revolving Commitment terminates to but excluding the date on which such Lender ceases to have any Revolving Exposure. Commitment fees accrued through and including the last day of March, June, September and December of each year shall be payable in arrears on the fifteenth (15th) day following such last day and on the date on which the Revolving Commitments terminate, commencing on the first such date to occur after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commitment fees accruing after the date on which the Revolving Commitments terminate shall be payable on demand. All commitment fees shall be computed on the basis of a year of 360 days and shall be payable for the actual number of days elapsed (including the first day and last day of each period but excluding the date on which the Revolving Commitments terminate).</w:t>
      </w:r>
    </w:p>
    <w:p>
      <w:pPr>
        <w:spacing w:after="0" w:line="155" w:lineRule="exact"/>
        <w:rPr>
          <w:rFonts w:ascii="Times New Roman" w:cs="Times New Roman" w:eastAsia="Times New Roman" w:hAnsi="Times New Roman"/>
          <w:sz w:val="20"/>
          <w:szCs w:val="20"/>
          <w:color w:val="010000"/>
        </w:rPr>
      </w:pPr>
    </w:p>
    <w:p>
      <w:pPr>
        <w:jc w:val="both"/>
        <w:ind w:firstLine="656"/>
        <w:spacing w:after="0" w:line="218" w:lineRule="auto"/>
        <w:tabs>
          <w:tab w:leader="none" w:pos="1284"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agrees to pay (i) to the Administrative Agent for the account of each Lender a participation fee with respect to its participations in each outstanding Letter of Credit, which shall accrue on the daily maximum stated Dollar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Revolving Commitment terminates and the date on which such Lender ceases to have any LC Exposure, and (ii) to the Issuing Bank for its own account a fronting fee,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accrue at the rate or rates per annum separately agreed upon between the Borrower and the Issuing Bank on the daily maximum stated</w:t>
      </w:r>
    </w:p>
    <w:p>
      <w:pPr>
        <w:jc w:val="both"/>
        <w:spacing w:after="0" w:line="215" w:lineRule="auto"/>
        <w:rPr>
          <w:sz w:val="20"/>
          <w:szCs w:val="20"/>
          <w:color w:val="auto"/>
        </w:rPr>
      </w:pPr>
      <w:r>
        <w:rPr>
          <w:rFonts w:ascii="Times New Roman" w:cs="Times New Roman" w:eastAsia="Times New Roman" w:hAnsi="Times New Roman"/>
          <w:sz w:val="19"/>
          <w:szCs w:val="19"/>
          <w:color w:val="auto"/>
        </w:rPr>
        <w:t>Dollar Amount then available to be drawn under each outstanding Letter of Credit, during the period from and including the Effective Date to but excluding the later of the date of termination of the Revolving Commitments and the date on which there ceases to be any LC Exposure,</w:t>
      </w:r>
    </w:p>
    <w:p>
      <w:pPr>
        <w:spacing w:after="0" w:line="211" w:lineRule="auto"/>
        <w:rPr>
          <w:sz w:val="20"/>
          <w:szCs w:val="20"/>
          <w:color w:val="auto"/>
        </w:rPr>
      </w:pPr>
      <w:r>
        <w:rPr>
          <w:rFonts w:ascii="Times New Roman" w:cs="Times New Roman" w:eastAsia="Times New Roman" w:hAnsi="Times New Roman"/>
          <w:sz w:val="20"/>
          <w:szCs w:val="20"/>
          <w:color w:val="auto"/>
        </w:rPr>
        <w:t>as well as the Issuing Bank’s standard fees and commissions with respect to the issuance, amendment, cancellation, negotiation, transfer,</w:t>
      </w:r>
    </w:p>
    <w:p>
      <w:pPr>
        <w:spacing w:after="0" w:line="215" w:lineRule="auto"/>
        <w:rPr>
          <w:sz w:val="20"/>
          <w:szCs w:val="20"/>
          <w:color w:val="auto"/>
        </w:rPr>
      </w:pPr>
      <w:r>
        <w:rPr>
          <w:rFonts w:ascii="Times New Roman" w:cs="Times New Roman" w:eastAsia="Times New Roman" w:hAnsi="Times New Roman"/>
          <w:sz w:val="19"/>
          <w:szCs w:val="19"/>
          <w:color w:val="auto"/>
        </w:rPr>
        <w:t>presentment or extension of any Letter of Credit and other processing fees, and other standard costs and charges, of the Issuing Bank relating to Letters of Credit as from time to time in effect. Participation fees and fronting fees accrued through and including the last day of each</w:t>
      </w:r>
    </w:p>
    <w:p>
      <w:pPr>
        <w:spacing w:after="0" w:line="222" w:lineRule="auto"/>
        <w:rPr>
          <w:sz w:val="20"/>
          <w:szCs w:val="20"/>
          <w:color w:val="auto"/>
        </w:rPr>
      </w:pPr>
      <w:r>
        <w:rPr>
          <w:rFonts w:ascii="Times New Roman" w:cs="Times New Roman" w:eastAsia="Times New Roman" w:hAnsi="Times New Roman"/>
          <w:sz w:val="19"/>
          <w:szCs w:val="19"/>
          <w:color w:val="auto"/>
        </w:rPr>
        <w:t>March, June, September and December of each year shall be payable on the fifteenth (15th) day following such last day, commencing on the</w:t>
      </w:r>
    </w:p>
    <w:p>
      <w:pPr>
        <w:spacing w:after="0" w:line="204" w:lineRule="auto"/>
        <w:rPr>
          <w:sz w:val="20"/>
          <w:szCs w:val="20"/>
          <w:color w:val="auto"/>
        </w:rPr>
      </w:pPr>
      <w:r>
        <w:rPr>
          <w:rFonts w:ascii="Times New Roman" w:cs="Times New Roman" w:eastAsia="Times New Roman" w:hAnsi="Times New Roman"/>
          <w:sz w:val="20"/>
          <w:szCs w:val="20"/>
          <w:color w:val="auto"/>
        </w:rPr>
        <w:t>first such date to occur after the Effective Date; provided that all such fees shall be payable on the date on which the Revolving Commitments terminate and any such fees accruing after the date on which the Revolving Commitments terminate shall be payable on</w:t>
      </w:r>
    </w:p>
    <w:p>
      <w:pPr>
        <w:spacing w:after="0" w:line="211" w:lineRule="auto"/>
        <w:rPr>
          <w:sz w:val="20"/>
          <w:szCs w:val="20"/>
          <w:color w:val="auto"/>
        </w:rPr>
      </w:pPr>
      <w:r>
        <w:rPr>
          <w:rFonts w:ascii="Times New Roman" w:cs="Times New Roman" w:eastAsia="Times New Roman" w:hAnsi="Times New Roman"/>
          <w:sz w:val="20"/>
          <w:szCs w:val="20"/>
          <w:color w:val="auto"/>
        </w:rPr>
        <w:t>demand. Any other fees payable to the Issuing Bank pursuant to this paragraph shall be payable within ten (10) days after demand. All</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participation fees and fronting fees shall be computed on the basis of a year of 360 days and shall be payable for the actual number of days elapsed (including the first day but excluding the last day).</w:t>
      </w:r>
    </w:p>
    <w:p>
      <w:pPr>
        <w:spacing w:after="0" w:line="162" w:lineRule="exact"/>
        <w:rPr>
          <w:sz w:val="20"/>
          <w:szCs w:val="20"/>
          <w:color w:val="auto"/>
        </w:rPr>
      </w:pPr>
    </w:p>
    <w:p>
      <w:pPr>
        <w:jc w:val="both"/>
        <w:ind w:firstLine="656"/>
        <w:spacing w:after="0" w:line="226" w:lineRule="auto"/>
        <w:tabs>
          <w:tab w:leader="none" w:pos="1286"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agrees to pay to the Administrative Agent, for its own account, and to the Lenders, as applicable, fees payable in the amounts and at the times separately agreed upon between the Borrower and the Administrative Agent in any fee letter executed in connection with this Agreement.</w:t>
      </w:r>
    </w:p>
    <w:p>
      <w:pPr>
        <w:spacing w:after="0" w:line="160"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84"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fees payable hereunder shall be paid in dollars on the dates due, in immediately available funds, to the Administrative Agent (or to the Issuing Bank, in the case of fees payable to it) for distribution, in the case of commitment fees and participation fees, to the Lenders entitled thereto. Fees paid shall not be refundable under any circumstances.</w:t>
      </w:r>
    </w:p>
    <w:p>
      <w:pPr>
        <w:spacing w:after="0" w:line="1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jc w:val="both"/>
        <w:ind w:firstLine="656"/>
        <w:spacing w:after="0" w:line="223" w:lineRule="auto"/>
        <w:tabs>
          <w:tab w:leader="none" w:pos="1286"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Loans comprising each ABR Borrowing (including each Swingline Loan that is an ABR Loan) shall bear interest at the Alternate Base Rate plus the Applicable Rate. The Loans comprising each CBR Loan shall bear interest at a rate per annum equal to the Central Bank Rate plus the CBR Spread.</w:t>
      </w:r>
    </w:p>
    <w:p>
      <w:pPr>
        <w:spacing w:after="0" w:line="146" w:lineRule="exact"/>
        <w:rPr>
          <w:rFonts w:ascii="Times New Roman" w:cs="Times New Roman" w:eastAsia="Times New Roman" w:hAnsi="Times New Roman"/>
          <w:sz w:val="20"/>
          <w:szCs w:val="20"/>
          <w:color w:val="010000"/>
        </w:rPr>
      </w:pPr>
    </w:p>
    <w:p>
      <w:pPr>
        <w:ind w:firstLine="656"/>
        <w:spacing w:after="0"/>
        <w:tabs>
          <w:tab w:leader="none" w:pos="1284"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Loans comprising each Term Benchmark Borrowing shall bear interest at the Adjusted Term SOFR Rate, the Adjusted AUD Rate or the Adjusted NZD Rate, as applicable, for the Interest Period in effect for such Borrowing plus the Applicable Rate.</w:t>
      </w:r>
    </w:p>
    <w:p>
      <w:pPr>
        <w:spacing w:after="0" w:line="161" w:lineRule="exact"/>
        <w:rPr>
          <w:rFonts w:ascii="Times New Roman" w:cs="Times New Roman" w:eastAsia="Times New Roman" w:hAnsi="Times New Roman"/>
          <w:sz w:val="20"/>
          <w:szCs w:val="20"/>
          <w:color w:val="010000"/>
        </w:rPr>
      </w:pPr>
    </w:p>
    <w:p>
      <w:pPr>
        <w:ind w:firstLine="656"/>
        <w:spacing w:after="0" w:line="233" w:lineRule="auto"/>
        <w:tabs>
          <w:tab w:leader="none" w:pos="1286"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RFR Loan (including each Swingline Loan that is an RFR Loan) shall bear interest at a rate per annum equal to the applicable Adjusted Daily Simple RFR plus the Applicable Rate.</w:t>
      </w:r>
    </w:p>
    <w:p>
      <w:pPr>
        <w:spacing w:after="0" w:line="160"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284"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the foregoing, during the occurrence and continuance of an Event of Default, the Administrative Agent or the Required Lenders may, at their option, by notice to the Borrower (which notice may be revoked at the option of the Required Lenders notwithstanding any provision of Section 9.02 requiring the consent of “each Lender directly affected thereby” for reductions in interest rates),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w:t>
      </w:r>
    </w:p>
    <w:p>
      <w:pPr>
        <w:spacing w:after="0" w:line="162"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286"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Accrued interest on each Loan shall be payable in arrears in the same Agreed Currency as the applicable Loan on each Interest Payment Date for such Loan and, in the case of Revolving Loans, upon termination of the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76" w:lineRule="exact"/>
        <w:rPr>
          <w:sz w:val="20"/>
          <w:szCs w:val="20"/>
          <w:color w:val="auto"/>
        </w:rPr>
      </w:pPr>
    </w:p>
    <w:p>
      <w:pPr>
        <w:jc w:val="both"/>
        <w:ind w:firstLine="656"/>
        <w:spacing w:after="0" w:line="224" w:lineRule="auto"/>
        <w:tabs>
          <w:tab w:leader="none" w:pos="1291" w:val="left"/>
        </w:tabs>
        <w:numPr>
          <w:ilvl w:val="0"/>
          <w:numId w:val="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interest hereunder shall be computed on the basis of a year of 360 days, except that interest (i) computed by reference to the Canadian Prime Rate or the Alternate Base Rate at times when the Alternate Base Rate is based on the Prime Rate, in each case, shall be computed on the basis of a year of 365 days (or 366 days in a leap year), (ii) for Borrowings denominated in Australian Dollars shall be computed on the basis of a year of 365 days, (iii) for Borrowings denominated in New Zealand Dollars shall be computed on the basis of a year of 365 days and (iv) for Borrowings denominated in Pounds Sterling shall be computed on the basis of a year of 365 days,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Term SOFR Rate, Adjusted AUD Rate, AUD Rate, Adjusted NZD Rate, NZD Rate, Adjusted Daily Simple SONIA Rate, Daily Simple SONIA, Adjusted Daily Simple SOFR, Daily Simple SOFR or Central Bank Rate shall be reasonably determined by the Administrative Agent, and such determination shall be conclusive absent manifest error.</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u w:val="single" w:color="auto"/>
          <w:color w:val="auto"/>
        </w:rPr>
        <w:t>Alternate Rate of Interest</w:t>
      </w:r>
      <w:r>
        <w:rPr>
          <w:rFonts w:ascii="Times New Roman" w:cs="Times New Roman" w:eastAsia="Times New Roman" w:hAnsi="Times New Roman"/>
          <w:sz w:val="19"/>
          <w:szCs w:val="19"/>
          <w:color w:val="auto"/>
        </w:rPr>
        <w:t>.</w:t>
      </w:r>
    </w:p>
    <w:p>
      <w:pPr>
        <w:ind w:left="1300" w:hanging="644"/>
        <w:spacing w:after="0"/>
        <w:tabs>
          <w:tab w:leader="none" w:pos="1300" w:val="left"/>
        </w:tabs>
        <w:numPr>
          <w:ilvl w:val="1"/>
          <w:numId w:val="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clauses (b), (c), (d), (e) and (f) of this Section 2.14, if:</w:t>
      </w:r>
    </w:p>
    <w:p>
      <w:pPr>
        <w:spacing w:after="0" w:line="161"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2"/>
          <w:numId w:val="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determines (which determination shall be conclusive and binding absent manifest error)</w:t>
      </w:r>
    </w:p>
    <w:p>
      <w:pPr>
        <w:jc w:val="both"/>
        <w:ind w:firstLine="8"/>
        <w:spacing w:after="0" w:line="223" w:lineRule="auto"/>
        <w:tabs>
          <w:tab w:leader="none" w:pos="328"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commencement of any Interest Period for a Term Benchmark Borrowing that adequate and reasonable means do not exist for ascertaining (including, without limitation, by means of an Interpolated Rate or because the Relevant Screen Rate is not available or published on a current basis) the Alternate Base Rate, the Adjusted Term SOFR Rate, the Term SOFR Rate, the Adjusted AUD Rate, the AUD Rate, the Adjusted NZD Rate or the NZD Rate, as applicable, for such Interest Period and currency or (B) at any time, that adequate and reasonable means do not exist for ascertaining the applicable Adjusted Daily Simple RFR or RFR for the applicable Agreed Currency; or</w:t>
      </w:r>
    </w:p>
    <w:p>
      <w:pPr>
        <w:spacing w:after="0" w:line="164" w:lineRule="exact"/>
        <w:rPr>
          <w:rFonts w:ascii="Times New Roman" w:cs="Times New Roman" w:eastAsia="Times New Roman" w:hAnsi="Times New Roman"/>
          <w:sz w:val="19"/>
          <w:szCs w:val="19"/>
          <w:color w:val="auto"/>
        </w:rPr>
      </w:pPr>
    </w:p>
    <w:p>
      <w:pPr>
        <w:jc w:val="both"/>
        <w:ind w:firstLine="1304"/>
        <w:spacing w:after="0" w:line="216" w:lineRule="auto"/>
        <w:tabs>
          <w:tab w:leader="none" w:pos="1943" w:val="left"/>
        </w:tabs>
        <w:numPr>
          <w:ilvl w:val="2"/>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is advised by the Required Lenders that (A) prior to the commencement of any Interest Period for a Term Benchmark Borrowing the Adjusted Term SOFR Rate, the Term SOFR Rate, the Adjusted AUD Rate, the AUD Rate, the Adjusted NZD Rate or the NZD Rate, as applicable, for the applicable Interest Period and currency will not adequately and fairly reflect the cost to such Lenders (or Lender) of making or maintaining their Loans (or Loan) included in such Borrowing for such Interest Period, or (B) at any time, the applicable Adjusted Daily Simple RFR or RFR for the applicable Agreed Currency will not adequately and fairly reflect the cost to such Lenders of making or maintaining their Loans included in such Borrowing for the applicable Agreed Currency;</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 (x) an RFR Borrowing denominated in Dollars so long as the Adjusted Daily Simple RFR for Dollar Borrowings is not also the subject of Section 2.14(a)(i) or (ii) above or (y) an ABR Borrowing if the Adjusted Daily Simple RFR for Dollar Borrowings also is the subject of Section 2.14(a)(i) or (ii) above and (2) if the Adjusted Daily Simple RFR for Dollar Borrowings also is the subject of Section 2.14(a)(i) or (ii) above, any Borrowing Request that requests an RFR Borrowing (or any request for conversion to, or continuation of, an RFR Borrowing) for Dollars shall instead be deemed to be a Borrowing Request for an ABR Borrowing and (B) for Loans denominated in a Foreign Currency, any Interest Election Request that requests the conversion of any Revolving Borrowing to, or continuation of any Revolving Borrowing as, a Term Benchmark Borrowing and any Borrowing Request that requests a Term Benchmark Revolving Borrowing or an RFR Borrowing, in each case, for the relevant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shall be ineffective;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circumstances giving rise to such notice affect only one or more Types of Borrowings, then all other Types of Borrowings shall be permitted. Furthermore, if any Term Benchmark Loan or RFR Loan in any Agreed Currency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Term Benchmark Loan shall on the last day of the Interest Period applicable to such Loan, be converted by the Administrative Agent to, and shall constitute, (x) an RFR Borrowing denominated in Dollars so long as the Adjusted Daily Simple RFR for Dollar Borrowings is not also the subject of Section 2.14(a)(i) or (ii) above or (y) an ABR Loan if the Adjusted Daily Simple RFR for Dollar Borrowings also is the subject of Section 2.14(a)(i) or (ii) above, on such day, and (2) if the Adjusted Daily Simple RFR for Dollar Borrowings also is the subject of Section 2.14(a)(i) or (ii) above, any RFR Loan shall on and from such day be converted by the Administrative Agent to, and shall constitute an ABR Loan and (B) for Loans denominated in a Foreign Currency, (1) any Term Benchmark Loan shall, on the last day of the Interest Period applicable to such Loan bear interest at the Central Bank Rate for the applicable Foreign Currency plus the CBR Spread;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if the Administrative Agent determines (which determination shall be conclusive and binding absent manifest error) that the Central Bank Rate for the applicable Foreign Currency cannot be determined, any outstanding affected RFR Loans denominated in any Foreign Currency, at the Borrower’s election, shall either (A) be converted into ABR Loans denominated in Dollars (in an amount equal to the Equivalent Amount of such Foreign Currency) immediately or (B) be prepaid in full immediately.</w:t>
      </w:r>
    </w:p>
    <w:p>
      <w:pPr>
        <w:spacing w:after="0" w:line="173" w:lineRule="exact"/>
        <w:rPr>
          <w:sz w:val="20"/>
          <w:szCs w:val="20"/>
          <w:color w:val="auto"/>
        </w:rPr>
      </w:pPr>
    </w:p>
    <w:p>
      <w:pPr>
        <w:jc w:val="both"/>
        <w:ind w:firstLine="656"/>
        <w:spacing w:after="0" w:line="211" w:lineRule="auto"/>
        <w:tabs>
          <w:tab w:leader="none" w:pos="1284"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76" w:lineRule="exact"/>
        <w:rPr>
          <w:sz w:val="20"/>
          <w:szCs w:val="20"/>
          <w:color w:val="auto"/>
        </w:rPr>
      </w:pPr>
    </w:p>
    <w:p>
      <w:pPr>
        <w:jc w:val="both"/>
        <w:ind w:firstLine="656"/>
        <w:spacing w:after="0" w:line="222" w:lineRule="auto"/>
        <w:tabs>
          <w:tab w:leader="none" w:pos="1286"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61"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84"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Section 2.14(e)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61" w:lineRule="exact"/>
        <w:rPr>
          <w:rFonts w:ascii="Times New Roman" w:cs="Times New Roman" w:eastAsia="Times New Roman" w:hAnsi="Times New Roman"/>
          <w:sz w:val="20"/>
          <w:szCs w:val="20"/>
          <w:color w:val="010000"/>
        </w:rPr>
      </w:pPr>
    </w:p>
    <w:p>
      <w:pPr>
        <w:jc w:val="both"/>
        <w:ind w:firstLine="656"/>
        <w:spacing w:after="0" w:line="211" w:lineRule="auto"/>
        <w:tabs>
          <w:tab w:leader="none" w:pos="1286"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then-current Benchmark is a term rate (including the Term SOFR Rate, AUD Rate or NZD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65" w:lineRule="exact"/>
        <w:rPr>
          <w:rFonts w:ascii="Times New Roman" w:cs="Times New Roman" w:eastAsia="Times New Roman" w:hAnsi="Times New Roman"/>
          <w:sz w:val="20"/>
          <w:szCs w:val="20"/>
          <w:color w:val="010000"/>
        </w:rPr>
      </w:pPr>
    </w:p>
    <w:p>
      <w:pPr>
        <w:jc w:val="both"/>
        <w:ind w:firstLine="656"/>
        <w:spacing w:after="0" w:line="209" w:lineRule="auto"/>
        <w:tabs>
          <w:tab w:leader="none" w:pos="1291"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the Borrower’s receipt of notice of the commencement of a Benchmark Unavailability Period, the Borrower may revoke any request for a Term Benchmark Borrowing or RFR Borrowing of, conversion to or continuation of Term Benchmark Loans or RFR Loans to be made, converted or continued during any Benchmark Unavailability Period and, failing that, either (x) the Borrower will be deemed to have converted any such request for (1) a Term Benchmark Borrowing denominated in Dollars into a request for a Borrowing of or conversion to (A)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request relating to a Term Benchmark Borrowing or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2.14, (A) for Loans denominated in Dollars, (1) any Term Benchmark Loan shall on the last day of the Interest Period applicable to such Loan, be converted by the Administrative Agent to, and shall constitute, (x) an RFR Borrowing denominated in Dollars so long as the Adjusted Daily Simple RFR for Dollar Borrowings is not the subject of a Benchmark Transition Event or (y) an ABR Loan if the Adjusted Daily Simple RFR for Dollar Borrowings is the subject of a Benchmark Transition Event, on such day and (2) if the Adjusted Daily Simple RFR for Dollar Borrowings is the subject of a Benchmark Transition Event, any RFR Loan shall on and from such day, be converted by the Administrative Agent to, and shall constitute an ABR Loan and (B) for Loans denominated in any Foreign Currency, (1) any Term Benchmark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shall, on the last day of the Interest Period applicable to such Loan bear interest at the Central Bank Rate for the applicable Foreign Currency</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plus the CBR Spread;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if the Administrative Agent determines (which determination shall be conclusive and binding absent manifest error) that the Central Bank Rate for the applicable Foreign Currency cannot be determined, any outstanding affected Term</w:t>
      </w:r>
    </w:p>
    <w:p>
      <w:pPr>
        <w:spacing w:after="0" w:line="211" w:lineRule="auto"/>
        <w:rPr>
          <w:sz w:val="20"/>
          <w:szCs w:val="20"/>
          <w:color w:val="auto"/>
        </w:rPr>
      </w:pPr>
      <w:r>
        <w:rPr>
          <w:rFonts w:ascii="Times New Roman" w:cs="Times New Roman" w:eastAsia="Times New Roman" w:hAnsi="Times New Roman"/>
          <w:sz w:val="20"/>
          <w:szCs w:val="20"/>
          <w:color w:val="auto"/>
        </w:rPr>
        <w:t>Benchmark Loans denominated in any Foreign Currency shall, at the Borrower’s election prior to such day: (A) be prepaid by the Borrower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on such day or (B) solely for the purpose of calculating the interest rate applicable to such Term Benchmark Loan, such Term Benchmark Loan denominated in any Foreign Currency shall be deemed to be a Term Benchmark Loan denominated in Dollars and shall accrue interest</w:t>
      </w:r>
    </w:p>
    <w:p>
      <w:pPr>
        <w:spacing w:after="0" w:line="211" w:lineRule="auto"/>
        <w:rPr>
          <w:sz w:val="20"/>
          <w:szCs w:val="20"/>
          <w:color w:val="auto"/>
        </w:rPr>
      </w:pPr>
      <w:r>
        <w:rPr>
          <w:rFonts w:ascii="Times New Roman" w:cs="Times New Roman" w:eastAsia="Times New Roman" w:hAnsi="Times New Roman"/>
          <w:sz w:val="20"/>
          <w:szCs w:val="20"/>
          <w:color w:val="auto"/>
        </w:rPr>
        <w:t>at the same interest rate applicable to Term Benchmark Loans denominated in Dollars at such time and (2) any RFR Loan shall bear interest</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at the Central Bank Rate for the applicable Foreign Currency plus the CBR Spread;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if the Administrative Agent determines (which determination shall be conclusive and binding absent manifest error) that the Central Bank Rate (for the applicable Foreign Currency</w:t>
      </w:r>
    </w:p>
    <w:p>
      <w:pPr>
        <w:spacing w:after="0" w:line="222" w:lineRule="auto"/>
        <w:rPr>
          <w:sz w:val="20"/>
          <w:szCs w:val="20"/>
          <w:color w:val="auto"/>
        </w:rPr>
      </w:pPr>
      <w:r>
        <w:rPr>
          <w:rFonts w:ascii="Times New Roman" w:cs="Times New Roman" w:eastAsia="Times New Roman" w:hAnsi="Times New Roman"/>
          <w:sz w:val="19"/>
          <w:szCs w:val="19"/>
          <w:color w:val="auto"/>
        </w:rPr>
        <w:t>cannot be determined, any outstanding affected RFR Loans denominated in any Foreign Currency, at the Borrower’s election, shall either (A)</w:t>
      </w:r>
    </w:p>
    <w:p>
      <w:pPr>
        <w:spacing w:after="0" w:line="221" w:lineRule="auto"/>
        <w:rPr>
          <w:sz w:val="20"/>
          <w:szCs w:val="20"/>
          <w:color w:val="auto"/>
        </w:rPr>
      </w:pPr>
      <w:r>
        <w:rPr>
          <w:rFonts w:ascii="Times New Roman" w:cs="Times New Roman" w:eastAsia="Times New Roman" w:hAnsi="Times New Roman"/>
          <w:sz w:val="20"/>
          <w:szCs w:val="20"/>
          <w:color w:val="auto"/>
        </w:rPr>
        <w:t>be converted into ABR Loans denominated in Dollars (in an amount equal to the Equivalent Amount of such Foreign Currency) immediately or (B) be prepaid in full immediately.</w:t>
      </w:r>
    </w:p>
    <w:p>
      <w:pPr>
        <w:spacing w:after="0" w:line="162" w:lineRule="exact"/>
        <w:rPr>
          <w:sz w:val="20"/>
          <w:szCs w:val="20"/>
          <w:color w:val="auto"/>
        </w:rPr>
      </w:pPr>
    </w:p>
    <w:p>
      <w:pPr>
        <w:jc w:val="both"/>
        <w:ind w:firstLine="656"/>
        <w:spacing w:after="0" w:line="213" w:lineRule="auto"/>
        <w:tabs>
          <w:tab w:leader="none" w:pos="1284" w:val="left"/>
        </w:tabs>
        <w:numPr>
          <w:ilvl w:val="0"/>
          <w:numId w:val="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in this Section 2.14, if at any time (i) the Administrative Agent determines that adequate and reasonable means do not exist for ascertaining the Adjusted Daily Simple RFR for Dollars, (ii) the Swingline Lender advises the Administrative Agent that the Adjusted Daily Simple RFR for Dollars will not adequately and fairly reflect the cost to the Swingline Lender of making or maintaining Swingline Loans, or (iii) a Benchmark Unavailability Period has commenced with respect to Daily Simple SOFR (in each case, whether or not any such circumstance also exists with respect to the Adjusted Term SOFR Rate), then, until the Administrative Agent notifies the Borrower that such circumstances no longer exist, (x) any request for a Swingline Loan that is an RFR Loan shall be deemed to be a request for a Swingline Loan that is an ABR Loan and (y) each outstanding Swingline Loan that is an RFR Loan shall, on and from the date of the Administrative Agent's notice thereof, be converted to and constitute an ABR Loan.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w:t>
      </w:r>
    </w:p>
    <w:p>
      <w:pPr>
        <w:ind w:left="1300" w:hanging="644"/>
        <w:spacing w:after="0"/>
        <w:tabs>
          <w:tab w:leader="none" w:pos="1300" w:val="left"/>
        </w:tabs>
        <w:numPr>
          <w:ilvl w:val="0"/>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Change in Law shall:</w:t>
      </w:r>
    </w:p>
    <w:p>
      <w:pPr>
        <w:spacing w:after="0" w:line="153" w:lineRule="exact"/>
        <w:rPr>
          <w:rFonts w:ascii="Times New Roman" w:cs="Times New Roman" w:eastAsia="Times New Roman" w:hAnsi="Times New Roman"/>
          <w:sz w:val="20"/>
          <w:szCs w:val="20"/>
          <w:color w:val="010000"/>
        </w:rPr>
      </w:pPr>
    </w:p>
    <w:p>
      <w:pPr>
        <w:jc w:val="both"/>
        <w:ind w:left="660" w:firstLine="644"/>
        <w:spacing w:after="0" w:line="222" w:lineRule="auto"/>
        <w:tabs>
          <w:tab w:leader="none" w:pos="1954" w:val="left"/>
        </w:tabs>
        <w:numPr>
          <w:ilvl w:val="1"/>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AUD Rate or Adjusted NZD Rate, as applicable) or the Issuing Bank; or</w:t>
      </w:r>
    </w:p>
    <w:p>
      <w:pPr>
        <w:spacing w:after="0" w:line="161" w:lineRule="exact"/>
        <w:rPr>
          <w:rFonts w:ascii="Times New Roman" w:cs="Times New Roman" w:eastAsia="Times New Roman" w:hAnsi="Times New Roman"/>
          <w:sz w:val="20"/>
          <w:szCs w:val="20"/>
          <w:color w:val="010000"/>
        </w:rPr>
      </w:pPr>
    </w:p>
    <w:p>
      <w:pPr>
        <w:jc w:val="both"/>
        <w:ind w:left="660" w:firstLine="644"/>
        <w:spacing w:after="0" w:line="226" w:lineRule="auto"/>
        <w:tabs>
          <w:tab w:leader="none" w:pos="1955" w:val="left"/>
        </w:tabs>
        <w:numPr>
          <w:ilvl w:val="1"/>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impose on any Lender or the Issuing Bank or the applicable interbank market for the applicable Agreed Currency any other condition, cost or expense (other than Taxes) affecting this Agreement or Loans made by such Lender or any Letter of Credit or participation therein; or</w:t>
      </w:r>
    </w:p>
    <w:p>
      <w:pPr>
        <w:spacing w:after="0" w:line="160" w:lineRule="exact"/>
        <w:rPr>
          <w:rFonts w:ascii="Times New Roman" w:cs="Times New Roman" w:eastAsia="Times New Roman" w:hAnsi="Times New Roman"/>
          <w:sz w:val="20"/>
          <w:szCs w:val="20"/>
          <w:color w:val="010000"/>
        </w:rPr>
      </w:pPr>
    </w:p>
    <w:p>
      <w:pPr>
        <w:jc w:val="both"/>
        <w:ind w:left="660" w:firstLine="644"/>
        <w:spacing w:after="0" w:line="226" w:lineRule="auto"/>
        <w:tabs>
          <w:tab w:leader="none" w:pos="1956" w:val="left"/>
        </w:tabs>
        <w:numPr>
          <w:ilvl w:val="1"/>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or such other Recipient of making, continuing, converting into or maintaining any Loan (or of maintaining its obligation to make any such Loan) (including, without limitation, pursuant to any conversion of any Borrowing denominated in an Agreed Currency into a Borrowing denominated in any other Agreed Currency) or to increase the cost to such Lender, the Issuing Bank or such other Recipient of participating in, issuing or maintaining any Letter of Credit (including, without limitation, pursuant to any conversion of any Borrowing denominated in an Agreed Currency into a Borrowing denominated in any other Agreed Currency) or to reduce the amount of any sum received or receivable by such Lender, the Issuing Bank or such other Recipient hereunder (whether of principal, interest or otherwise) (including, without limitation,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to any conversion of any Borrowing denominated in an Agreed Currency into a Borrowing denominated in any other Agreed Currency), then the Borrower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59" w:lineRule="exact"/>
        <w:rPr>
          <w:sz w:val="20"/>
          <w:szCs w:val="20"/>
          <w:color w:val="auto"/>
        </w:rPr>
      </w:pPr>
    </w:p>
    <w:p>
      <w:pPr>
        <w:jc w:val="both"/>
        <w:ind w:firstLine="656"/>
        <w:spacing w:after="0" w:line="214" w:lineRule="auto"/>
        <w:tabs>
          <w:tab w:leader="none" w:pos="1284" w:val="left"/>
        </w:tabs>
        <w:numPr>
          <w:ilvl w:val="0"/>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Revolving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152"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6" w:val="left"/>
        </w:tabs>
        <w:numPr>
          <w:ilvl w:val="0"/>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certificate of a Lender or the Issuing Bank setting forth the amount or amounts necessary to compensate such Lender or the Issuing Bank or its holding company, as the case may be, as specified in paragraph (a) or (b) of this Section shall be delivered to the Borrower and shall be conclusive absent manifest error. The Borrower shall pay such Lender or the Issuing Bank, as the case may be, the amount shown as due on any such certificate within ten (10) days after receipt thereof.</w:t>
      </w:r>
    </w:p>
    <w:p>
      <w:pPr>
        <w:spacing w:after="0" w:line="161"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284" w:val="left"/>
        </w:tabs>
        <w:numPr>
          <w:ilvl w:val="0"/>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compensate a Lender or the Issuing Bank pursuant to this Section for any increased costs or reductions incurred more than 270 days prior to the date that such Lender or the Issuing Bank, as the case may be, notifies the Borrower of the Change in Law giving rise to such increased costs or reductions and of such Lender’s or the Issuing Bank’s intention to claim compensation therefor;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u w:val="single" w:color="auto"/>
          <w:color w:val="auto"/>
        </w:rPr>
        <w:t>Break Funding Payments</w:t>
      </w:r>
      <w:r>
        <w:rPr>
          <w:rFonts w:ascii="Times New Roman" w:cs="Times New Roman" w:eastAsia="Times New Roman" w:hAnsi="Times New Roman"/>
          <w:sz w:val="19"/>
          <w:szCs w:val="19"/>
          <w:color w:val="auto"/>
        </w:rPr>
        <w:t>.</w:t>
      </w:r>
    </w:p>
    <w:p>
      <w:pPr>
        <w:jc w:val="both"/>
        <w:ind w:firstLine="656"/>
        <w:spacing w:after="0" w:line="216" w:lineRule="auto"/>
        <w:tabs>
          <w:tab w:leader="none" w:pos="1286" w:val="left"/>
        </w:tabs>
        <w:numPr>
          <w:ilvl w:val="1"/>
          <w:numId w:val="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 respect to Loans that are not RFR Loans, in the event of (i) the payment of any principal of any Term Benchmark Loan other than on the last day of an Interest Period applicable thereto (including as a result of an Event of Default or as a result of any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2.09(d) and is revoked in accordance therewith),</w:t>
      </w:r>
    </w:p>
    <w:p>
      <w:pPr>
        <w:spacing w:after="0" w:line="2" w:lineRule="exact"/>
        <w:rPr>
          <w:rFonts w:ascii="Times New Roman" w:cs="Times New Roman" w:eastAsia="Times New Roman" w:hAnsi="Times New Roman"/>
          <w:sz w:val="19"/>
          <w:szCs w:val="19"/>
          <w:color w:val="010000"/>
        </w:rPr>
      </w:pPr>
    </w:p>
    <w:p>
      <w:pPr>
        <w:ind w:left="380" w:hanging="372"/>
        <w:spacing w:after="0" w:line="211" w:lineRule="auto"/>
        <w:tabs>
          <w:tab w:leader="none" w:pos="3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by any Borrower to make any payment of any Loan or drawing under any Letter of Credit (or interest due thereof)</w:t>
      </w:r>
    </w:p>
    <w:p>
      <w:pPr>
        <w:spacing w:after="0" w:line="211" w:lineRule="auto"/>
        <w:rPr>
          <w:sz w:val="20"/>
          <w:szCs w:val="20"/>
          <w:color w:val="auto"/>
        </w:rPr>
      </w:pPr>
      <w:r>
        <w:rPr>
          <w:rFonts w:ascii="Times New Roman" w:cs="Times New Roman" w:eastAsia="Times New Roman" w:hAnsi="Times New Roman"/>
          <w:sz w:val="20"/>
          <w:szCs w:val="20"/>
          <w:color w:val="auto"/>
        </w:rPr>
        <w:t>denominated in a Foreign Currency on its scheduled due date or any payment thereof in a different currency or (v) the assignment of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Term Benchmark Loan other than on the last day of the Interest Period applicable thereto as a result of a request by the Borrower pursuant to Section 2.19 or 9.02(d) or the CAM Exchange, then, in any such event, the Borrower shall compensate each Lender for the loss, cost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expense attributable to such event.</w:t>
      </w:r>
    </w:p>
    <w:p>
      <w:pPr>
        <w:spacing w:after="0" w:line="167" w:lineRule="exact"/>
        <w:rPr>
          <w:sz w:val="20"/>
          <w:szCs w:val="20"/>
          <w:color w:val="auto"/>
        </w:rPr>
      </w:pPr>
    </w:p>
    <w:p>
      <w:pPr>
        <w:jc w:val="both"/>
        <w:ind w:firstLine="656"/>
        <w:spacing w:after="0" w:line="216" w:lineRule="auto"/>
        <w:tabs>
          <w:tab w:leader="none" w:pos="1284"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2.09(d) and is revoked in accordance therewith), (iii) the assignment of any RFR Loan other than on the Interest Payment Date applicable thereto as a result of a request by the Borrower pursuant to Section 2.19 or 9.02(d) or the CAM Exchange, or (iv) the failure by the Borrower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make any payment of any Loan or drawing under any Letter of Credit (or interest due thereof) denominated in a Foreign Currency on its</w:t>
      </w:r>
    </w:p>
    <w:p>
      <w:pPr>
        <w:spacing w:after="0" w:line="221" w:lineRule="auto"/>
        <w:rPr>
          <w:sz w:val="20"/>
          <w:szCs w:val="20"/>
          <w:color w:val="auto"/>
        </w:rPr>
      </w:pPr>
      <w:r>
        <w:rPr>
          <w:rFonts w:ascii="Times New Roman" w:cs="Times New Roman" w:eastAsia="Times New Roman" w:hAnsi="Times New Roman"/>
          <w:sz w:val="20"/>
          <w:szCs w:val="20"/>
          <w:color w:val="auto"/>
        </w:rPr>
        <w:t>scheduled due date or any payment thereof in a different currency, then, in any such event, the Borrower shall compensate each Lender for the loss, cost and expense attributable to such event.</w:t>
      </w:r>
    </w:p>
    <w:p>
      <w:pPr>
        <w:spacing w:after="0" w:line="162" w:lineRule="exact"/>
        <w:rPr>
          <w:sz w:val="20"/>
          <w:szCs w:val="20"/>
          <w:color w:val="auto"/>
        </w:rPr>
      </w:pPr>
    </w:p>
    <w:p>
      <w:pPr>
        <w:jc w:val="both"/>
        <w:ind w:firstLine="656"/>
        <w:spacing w:after="0" w:line="226" w:lineRule="auto"/>
        <w:tabs>
          <w:tab w:leader="none" w:pos="1286"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certificate of any Lender setting forth any amount or amounts that such Lender is entitled to receive pursuant to this Section 2.16 shall be delivered to the Borrower and shall be conclusive absent manifest error. The Borrower shall pay such Lender the amount shown as due on any such certificate within ten (10) days after receipt thereof.</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2.18</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jc w:val="both"/>
        <w:ind w:firstLine="656"/>
        <w:spacing w:after="0" w:line="210" w:lineRule="auto"/>
        <w:tabs>
          <w:tab w:leader="none" w:pos="1286"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Withholding of Taxes; Gross-Up; Payments Free of Taxes</w:t>
      </w:r>
      <w:r>
        <w:rPr>
          <w:rFonts w:ascii="Times New Roman" w:cs="Times New Roman" w:eastAsia="Times New Roman" w:hAnsi="Times New Roman"/>
          <w:sz w:val="20"/>
          <w:szCs w:val="20"/>
          <w:color w:val="auto"/>
        </w:rPr>
        <w:t>. Any and all payments by or on account of any obligation of any Loan Party under any Loan Document (including, without limitation, the Secured Obligations and Guaranteed Obligations of each Loan Party)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64" w:lineRule="exact"/>
        <w:rPr>
          <w:rFonts w:ascii="Times New Roman" w:cs="Times New Roman" w:eastAsia="Times New Roman" w:hAnsi="Times New Roman"/>
          <w:sz w:val="20"/>
          <w:szCs w:val="20"/>
          <w:color w:val="010000"/>
        </w:rPr>
      </w:pPr>
    </w:p>
    <w:p>
      <w:pPr>
        <w:ind w:firstLine="656"/>
        <w:spacing w:after="0" w:line="233" w:lineRule="auto"/>
        <w:tabs>
          <w:tab w:leader="none" w:pos="1284"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Payment of Other Taxes by Loan Parties</w:t>
      </w:r>
      <w:r>
        <w:rPr>
          <w:rFonts w:ascii="Times New Roman" w:cs="Times New Roman" w:eastAsia="Times New Roman" w:hAnsi="Times New Roman"/>
          <w:sz w:val="20"/>
          <w:szCs w:val="20"/>
          <w:color w:val="auto"/>
        </w:rPr>
        <w:t>. The Loan Parties shall timely pay to the relevant Governmental Authority in accordance with applicable law, or at the option of the Administrative Agent timely reimburse it for, Other Taxes.</w:t>
      </w:r>
    </w:p>
    <w:p>
      <w:pPr>
        <w:spacing w:after="0" w:line="160"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6"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Evidence of Payment</w:t>
      </w:r>
      <w:r>
        <w:rPr>
          <w:rFonts w:ascii="Times New Roman" w:cs="Times New Roman" w:eastAsia="Times New Roman" w:hAnsi="Times New Roman"/>
          <w:sz w:val="20"/>
          <w:szCs w:val="20"/>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8"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284"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64" w:lineRule="exact"/>
        <w:rPr>
          <w:rFonts w:ascii="Times New Roman" w:cs="Times New Roman" w:eastAsia="Times New Roman" w:hAnsi="Times New Roman"/>
          <w:sz w:val="20"/>
          <w:szCs w:val="20"/>
          <w:color w:val="010000"/>
        </w:rPr>
      </w:pPr>
    </w:p>
    <w:p>
      <w:pPr>
        <w:jc w:val="both"/>
        <w:ind w:firstLine="656"/>
        <w:spacing w:after="0" w:line="212" w:lineRule="auto"/>
        <w:tabs>
          <w:tab w:leader="none" w:pos="1286"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76"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jc w:val="both"/>
        <w:ind w:firstLine="1304"/>
        <w:spacing w:after="0" w:line="211" w:lineRule="auto"/>
        <w:tabs>
          <w:tab w:leader="none" w:pos="1942" w:val="left"/>
        </w:tabs>
        <w:numPr>
          <w:ilvl w:val="1"/>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5"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1"/>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generality of the foregoing, in the event that the Borrower is a U.S. Person,</w:t>
      </w:r>
    </w:p>
    <w:p>
      <w:pPr>
        <w:spacing w:after="0" w:line="189" w:lineRule="exact"/>
        <w:rPr>
          <w:sz w:val="20"/>
          <w:szCs w:val="20"/>
          <w:color w:val="auto"/>
        </w:rPr>
      </w:pPr>
    </w:p>
    <w:p>
      <w:pPr>
        <w:jc w:val="both"/>
        <w:ind w:firstLine="1304"/>
        <w:spacing w:after="0" w:line="222" w:lineRule="auto"/>
        <w:tabs>
          <w:tab w:leader="none" w:pos="1935"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48"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8"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61" w:lineRule="exact"/>
        <w:rPr>
          <w:rFonts w:ascii="Times New Roman" w:cs="Times New Roman" w:eastAsia="Times New Roman" w:hAnsi="Times New Roman"/>
          <w:sz w:val="20"/>
          <w:szCs w:val="20"/>
          <w:color w:val="010000"/>
        </w:rPr>
      </w:pPr>
    </w:p>
    <w:p>
      <w:pPr>
        <w:jc w:val="both"/>
        <w:ind w:left="1300" w:firstLine="652"/>
        <w:spacing w:after="0" w:line="216" w:lineRule="auto"/>
        <w:tabs>
          <w:tab w:leader="none" w:pos="2584" w:val="left"/>
        </w:tabs>
        <w:numPr>
          <w:ilvl w:val="1"/>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 Foreign Lender claiming the benefits of an income tax treaty to which the U.S.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62" w:lineRule="exact"/>
        <w:rPr>
          <w:rFonts w:ascii="Times New Roman" w:cs="Times New Roman" w:eastAsia="Times New Roman" w:hAnsi="Times New Roman"/>
          <w:sz w:val="20"/>
          <w:szCs w:val="20"/>
          <w:color w:val="010000"/>
        </w:rPr>
      </w:pPr>
    </w:p>
    <w:p>
      <w:pPr>
        <w:ind w:left="1300" w:firstLine="652"/>
        <w:spacing w:after="0" w:line="233" w:lineRule="auto"/>
        <w:tabs>
          <w:tab w:leader="none" w:pos="2584" w:val="left"/>
        </w:tabs>
        <w:numPr>
          <w:ilvl w:val="1"/>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 Foreign Lender claiming that its extension of credit will generate U.S. effectively connected income, an executed copy of IRS Form W-8ECI;</w:t>
      </w:r>
    </w:p>
    <w:p>
      <w:pPr>
        <w:spacing w:after="0" w:line="160" w:lineRule="exact"/>
        <w:rPr>
          <w:rFonts w:ascii="Times New Roman" w:cs="Times New Roman" w:eastAsia="Times New Roman" w:hAnsi="Times New Roman"/>
          <w:sz w:val="20"/>
          <w:szCs w:val="20"/>
          <w:color w:val="010000"/>
        </w:rPr>
      </w:pPr>
    </w:p>
    <w:p>
      <w:pPr>
        <w:jc w:val="both"/>
        <w:ind w:left="1300" w:firstLine="652"/>
        <w:spacing w:after="0" w:line="216" w:lineRule="auto"/>
        <w:tabs>
          <w:tab w:leader="none" w:pos="2584" w:val="left"/>
        </w:tabs>
        <w:numPr>
          <w:ilvl w:val="1"/>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D-1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an executed copy of IRS Form W-8BEN or IRS Form W-8BEN-E, as applicable; or</w:t>
      </w:r>
    </w:p>
    <w:p>
      <w:pPr>
        <w:spacing w:after="0" w:line="162" w:lineRule="exact"/>
        <w:rPr>
          <w:rFonts w:ascii="Times New Roman" w:cs="Times New Roman" w:eastAsia="Times New Roman" w:hAnsi="Times New Roman"/>
          <w:sz w:val="20"/>
          <w:szCs w:val="20"/>
          <w:color w:val="010000"/>
        </w:rPr>
      </w:pPr>
    </w:p>
    <w:p>
      <w:pPr>
        <w:jc w:val="both"/>
        <w:ind w:left="1300" w:firstLine="652"/>
        <w:spacing w:after="0" w:line="226" w:lineRule="auto"/>
        <w:tabs>
          <w:tab w:leader="none" w:pos="2584" w:val="left"/>
        </w:tabs>
        <w:numPr>
          <w:ilvl w:val="1"/>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the extent a Foreign Lender is not the beneficial owner, an executed copy of IRS Form W-8IMY, accompanied by IRS Form W-8ECI, IRS Form W-8BEN or IRS Form W-8BEN-E, as applicable, a U.S. Tax Compliance Certificate substantially in the form of </w:t>
      </w:r>
      <w:r>
        <w:rPr>
          <w:rFonts w:ascii="Times New Roman" w:cs="Times New Roman" w:eastAsia="Times New Roman" w:hAnsi="Times New Roman"/>
          <w:sz w:val="20"/>
          <w:szCs w:val="20"/>
          <w:u w:val="single" w:color="auto"/>
          <w:color w:val="auto"/>
        </w:rPr>
        <w:t>Exhibit D-2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D-3</w:t>
      </w:r>
      <w:r>
        <w:rPr>
          <w:rFonts w:ascii="Times New Roman" w:cs="Times New Roman" w:eastAsia="Times New Roman" w:hAnsi="Times New Roman"/>
          <w:sz w:val="20"/>
          <w:szCs w:val="20"/>
          <w:color w:val="auto"/>
        </w:rPr>
        <w:t>, IRS Form W-9, and/or other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w:t>
      </w:r>
    </w:p>
    <w:p>
      <w:pPr>
        <w:ind w:left="1300"/>
        <w:spacing w:after="0" w:line="215" w:lineRule="auto"/>
        <w:rPr>
          <w:sz w:val="20"/>
          <w:szCs w:val="20"/>
          <w:color w:val="auto"/>
        </w:rPr>
      </w:pPr>
      <w:r>
        <w:rPr>
          <w:rFonts w:ascii="Times New Roman" w:cs="Times New Roman" w:eastAsia="Times New Roman" w:hAnsi="Times New Roman"/>
          <w:sz w:val="19"/>
          <w:szCs w:val="19"/>
          <w:color w:val="auto"/>
        </w:rPr>
        <w:t xml:space="preserve">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9"/>
          <w:szCs w:val="19"/>
          <w:u w:val="single" w:color="auto"/>
          <w:color w:val="auto"/>
        </w:rPr>
        <w:t>Exhibit D-4</w:t>
      </w:r>
      <w:r>
        <w:rPr>
          <w:rFonts w:ascii="Times New Roman" w:cs="Times New Roman" w:eastAsia="Times New Roman" w:hAnsi="Times New Roman"/>
          <w:sz w:val="19"/>
          <w:szCs w:val="19"/>
          <w:color w:val="auto"/>
        </w:rPr>
        <w:t xml:space="preserve"> on behalf of each such direct and indirect</w:t>
      </w:r>
    </w:p>
    <w:p>
      <w:pPr>
        <w:ind w:left="1300"/>
        <w:spacing w:after="0"/>
        <w:rPr>
          <w:sz w:val="20"/>
          <w:szCs w:val="20"/>
          <w:color w:val="auto"/>
        </w:rPr>
      </w:pPr>
      <w:r>
        <w:rPr>
          <w:rFonts w:ascii="Times New Roman" w:cs="Times New Roman" w:eastAsia="Times New Roman" w:hAnsi="Times New Roman"/>
          <w:sz w:val="20"/>
          <w:szCs w:val="20"/>
          <w:color w:val="auto"/>
        </w:rPr>
        <w:t>partner;</w:t>
      </w:r>
    </w:p>
    <w:p>
      <w:pPr>
        <w:spacing w:after="0" w:line="167" w:lineRule="exact"/>
        <w:rPr>
          <w:sz w:val="20"/>
          <w:szCs w:val="20"/>
          <w:color w:val="auto"/>
        </w:rPr>
      </w:pPr>
    </w:p>
    <w:p>
      <w:pPr>
        <w:jc w:val="both"/>
        <w:ind w:firstLine="1304"/>
        <w:spacing w:after="0" w:line="216" w:lineRule="auto"/>
        <w:tabs>
          <w:tab w:leader="none" w:pos="1938"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2" w:lineRule="exact"/>
        <w:rPr>
          <w:rFonts w:ascii="Times New Roman" w:cs="Times New Roman" w:eastAsia="Times New Roman" w:hAnsi="Times New Roman"/>
          <w:sz w:val="20"/>
          <w:szCs w:val="20"/>
          <w:color w:val="010000"/>
        </w:rPr>
      </w:pPr>
    </w:p>
    <w:p>
      <w:pPr>
        <w:jc w:val="both"/>
        <w:ind w:firstLine="1304"/>
        <w:spacing w:after="0" w:line="213" w:lineRule="auto"/>
        <w:tabs>
          <w:tab w:leader="none" w:pos="1935"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6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48" w:lineRule="exact"/>
        <w:rPr>
          <w:sz w:val="20"/>
          <w:szCs w:val="20"/>
          <w:color w:val="auto"/>
        </w:rPr>
      </w:pPr>
    </w:p>
    <w:p>
      <w:pPr>
        <w:jc w:val="both"/>
        <w:ind w:firstLine="656"/>
        <w:spacing w:after="0" w:line="211" w:lineRule="auto"/>
        <w:tabs>
          <w:tab w:leader="none" w:pos="1284"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52"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284"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2.17 shall survive the resignation or replacement of the Administrative Agent or any assignment of rights by, or the replacement of, a Lender, the termination of the Revolving Commitments and the repayment, satisfaction or discharge of all obligations under any Loan Document (including the Payment in Full of the Secured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76"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For purposes of this Section 2.17, the term “applicable law” includes FATCA.</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2.19</w:t>
      </w:r>
      <w:r>
        <w:rPr>
          <w:sz w:val="20"/>
          <w:szCs w:val="20"/>
          <w:color w:val="auto"/>
        </w:rPr>
        <w:tab/>
      </w:r>
      <w:r>
        <w:rPr>
          <w:rFonts w:ascii="Times New Roman" w:cs="Times New Roman" w:eastAsia="Times New Roman" w:hAnsi="Times New Roman"/>
          <w:sz w:val="19"/>
          <w:szCs w:val="19"/>
          <w:u w:val="single" w:color="auto"/>
          <w:color w:val="auto"/>
        </w:rPr>
        <w:t>Payments Generally; Allocation of Proceeds; Sharing of Set-offs</w:t>
      </w:r>
      <w:r>
        <w:rPr>
          <w:rFonts w:ascii="Times New Roman" w:cs="Times New Roman" w:eastAsia="Times New Roman" w:hAnsi="Times New Roman"/>
          <w:sz w:val="19"/>
          <w:szCs w:val="19"/>
          <w:color w:val="auto"/>
        </w:rPr>
        <w:t>.</w:t>
      </w:r>
    </w:p>
    <w:p>
      <w:pPr>
        <w:jc w:val="both"/>
        <w:ind w:firstLine="656"/>
        <w:spacing w:after="0" w:line="228" w:lineRule="auto"/>
        <w:tabs>
          <w:tab w:leader="none" w:pos="1286"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Loan Party shall make each payment or prepayment required to be made by it hereunder (whether of principal, interest, fees or reimbursement of LC Disbursements, or of amounts payable under Sections 2.15, 2.16 or 2.17, or otherwise) prior to (i) in the case of payments denominated in Dollars, 1:00 p.m., New York City time, and (ii) in the case of payments denominated in a Foreign Currency, 1:00 p.m., New York City time, in the city of the Administrative Agent’s Eurocurrency Payment Office for such currency, in each case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Loan or Letter of Credit was made (unless otherwise expressly provided under Section 2.06) and (ii) to the Administrative Agent at its offices at 10 South Dearborn Street, Floor L2, Chicago, Illinois, or, in the case of a Loan or a Letter of Credit denominated in a Foreign Currency, the Administrative Agent’s Eurocurrency Payment Office for such currency, except payments to be made directly to the Issuing Bank or Swingline Lender as expressly provided herein and except that payments pursuant to Sections 2.15, 2.16, 2.17 and 9.03 shall be made directly to the Persons entitled thereto. Without limiting the generality of the foregoing, the Administrative Agent may require that any payments due under this Agreement be made in the United States. The Administrative Agent shall distribute any such payments denominated in the same currency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Loan or Letter of Credit in any Foreign Currency, currency control or exchange regulations are imposed in the country which issues such currency with the result that the type of currency in which the Loan or Letter of Credit was made (the “</w:t>
      </w:r>
      <w:r>
        <w:rPr>
          <w:rFonts w:ascii="Times New Roman" w:cs="Times New Roman" w:eastAsia="Times New Roman" w:hAnsi="Times New Roman"/>
          <w:sz w:val="19"/>
          <w:szCs w:val="19"/>
          <w:u w:val="single" w:color="auto"/>
          <w:color w:val="auto"/>
        </w:rPr>
        <w:t>Original Currency</w:t>
      </w:r>
      <w:r>
        <w:rPr>
          <w:rFonts w:ascii="Times New Roman" w:cs="Times New Roman" w:eastAsia="Times New Roman" w:hAnsi="Times New Roman"/>
          <w:sz w:val="19"/>
          <w:szCs w:val="19"/>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Amount (as of the date of repayment) of such payment due, it being the intention of the parties hereto that the Borrower take all risks of the imposition of any such currency control or exchange regulations. If, for any reason, the Borrower is prohibited by any law from making any required payment hereunder in a Foreign Currency, the Borrower shall make such payment in Dollars in the Dollar Amount of the Foreign Currency payment amount.</w:t>
      </w:r>
    </w:p>
    <w:p>
      <w:pPr>
        <w:spacing w:after="0" w:line="166" w:lineRule="exact"/>
        <w:rPr>
          <w:rFonts w:ascii="Times New Roman" w:cs="Times New Roman" w:eastAsia="Times New Roman" w:hAnsi="Times New Roman"/>
          <w:sz w:val="19"/>
          <w:szCs w:val="19"/>
          <w:color w:val="010000"/>
        </w:rPr>
      </w:pPr>
    </w:p>
    <w:p>
      <w:pPr>
        <w:ind w:left="1300" w:hanging="644"/>
        <w:spacing w:after="0"/>
        <w:tabs>
          <w:tab w:leader="none" w:pos="1300"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payments and any proceeds of Collateral received by the Administrative Agent (i) not constituting either (A) a specific</w:t>
      </w:r>
    </w:p>
    <w:p>
      <w:pPr>
        <w:spacing w:after="0" w:line="207" w:lineRule="auto"/>
        <w:rPr>
          <w:sz w:val="20"/>
          <w:szCs w:val="20"/>
          <w:color w:val="auto"/>
        </w:rPr>
      </w:pPr>
      <w:r>
        <w:rPr>
          <w:rFonts w:ascii="Times New Roman" w:cs="Times New Roman" w:eastAsia="Times New Roman" w:hAnsi="Times New Roman"/>
          <w:sz w:val="19"/>
          <w:szCs w:val="19"/>
          <w:color w:val="auto"/>
        </w:rPr>
        <w:t>payment of principal, interest, fees or other sum payable under the Loan Documents (which shall be applied as specified by the Borrower) or</w:t>
      </w:r>
    </w:p>
    <w:p>
      <w:pPr>
        <w:spacing w:after="0" w:line="1" w:lineRule="exact"/>
        <w:rPr>
          <w:sz w:val="20"/>
          <w:szCs w:val="20"/>
          <w:color w:val="auto"/>
        </w:rPr>
      </w:pPr>
    </w:p>
    <w:p>
      <w:pPr>
        <w:jc w:val="both"/>
        <w:ind w:firstLine="8"/>
        <w:spacing w:after="0" w:line="209" w:lineRule="auto"/>
        <w:tabs>
          <w:tab w:leader="none" w:pos="32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mandatory prepayment (which shall be applied in accordance with Section 2.11) or (ii) after an Event of Default has occurred and is continuing and the Administrative Agent so elects or the Required Lenders so direct, in each case,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 any fees, indemnities, or expense reimbursements including amounts then due to the Administrative Agent, the Swingline Lender and the Issuing Bank from the Borrower (other than in connection with Banking Services Obligations or Swap Agreement Obligations),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 any fees, indemnities or expense reimbursements then due to the Lenders from the Loan Parties (other than in connection with Banking Services Obligations or Swap Agreement Obligations),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 interest then due and payable on the Loans ratably,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prepay principal on the Loans and unreimbursed LC Disbursements, to pay an amount to the Administrative Agent equal to one hundred three percent (103%) of the aggregate LC Exposure, to be held as cash collateral for such Obligations, and to pay any amounts owing in respect of Swap Agreement Obligations and Banking Services Obligations up to and including the amount most recently provided to the Administrative Agent pursuant to Section 2.22, ratably, and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the payment of any other Secured Obligation due to the Administrative Agent or any Lender from the Borrower or any other Loan Party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Notwithstanding the foregoing, (A) amounts received from any Loan Party shall not be applied to any Excluded Swap Obligation of such Loan Party and (B) no Non-Global Lender shall receive any amount with respect to any Obligation denominated in any Foreign Currency or in respect of any Revolving Exposure denominated in a Foreign Currency (it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understood that such amounts shall be apportioned ratably only to the Global Lenders). Notwithstanding anything to the contrary contained in</w:t>
      </w:r>
    </w:p>
    <w:p>
      <w:pPr>
        <w:spacing w:after="0" w:line="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this Agreement, unless so directed by the Borrower, or unless a Default is in existence, neither the Administrative Agent nor any Lender shall apply any payment which it receives to any Term Benchmark Loan, except (i) on the expiration date of the Interest Period applicable thereto,</w:t>
      </w:r>
    </w:p>
    <w:p>
      <w:pPr>
        <w:spacing w:after="0" w:line="211" w:lineRule="auto"/>
        <w:rPr>
          <w:sz w:val="20"/>
          <w:szCs w:val="20"/>
          <w:color w:val="auto"/>
        </w:rPr>
      </w:pPr>
      <w:r>
        <w:rPr>
          <w:rFonts w:ascii="Times New Roman" w:cs="Times New Roman" w:eastAsia="Times New Roman" w:hAnsi="Times New Roman"/>
          <w:sz w:val="20"/>
          <w:szCs w:val="20"/>
          <w:color w:val="auto"/>
        </w:rPr>
        <w:t>or (ii) in the event, and only to the extent, that there are no outstanding ABR Loans and, in any such event, the Borrower shall pay the break</w:t>
      </w:r>
    </w:p>
    <w:p>
      <w:pPr>
        <w:jc w:val="both"/>
        <w:spacing w:after="0" w:line="221" w:lineRule="auto"/>
        <w:rPr>
          <w:sz w:val="20"/>
          <w:szCs w:val="20"/>
          <w:color w:val="auto"/>
        </w:rPr>
      </w:pPr>
      <w:r>
        <w:rPr>
          <w:rFonts w:ascii="Times New Roman" w:cs="Times New Roman" w:eastAsia="Times New Roman" w:hAnsi="Times New Roman"/>
          <w:sz w:val="20"/>
          <w:szCs w:val="20"/>
          <w:color w:val="auto"/>
        </w:rPr>
        <w:t>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Notwithstanding the foregoing, Secured Obligations arising under Banking Services Obligations or Swap Agreement Obligations shall be excluded from the application described above and paid in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the Administrative Agent has not received written notice thereof to the extent required by Section 2.22, together with such supporting documentation as the Administrative Agent may have reasonably requested from the applicable provider of such Banking Services or Swap Agreements.</w:t>
      </w:r>
    </w:p>
    <w:p>
      <w:pPr>
        <w:spacing w:after="0" w:line="159" w:lineRule="exact"/>
        <w:rPr>
          <w:sz w:val="20"/>
          <w:szCs w:val="20"/>
          <w:color w:val="auto"/>
        </w:rPr>
      </w:pPr>
    </w:p>
    <w:p>
      <w:pPr>
        <w:jc w:val="both"/>
        <w:ind w:firstLine="656"/>
        <w:spacing w:after="0" w:line="212" w:lineRule="auto"/>
        <w:tabs>
          <w:tab w:leader="none" w:pos="1286"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pursuant to Section 2.03 or 2.05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Sections 2.03 or 2.05, as applicable, and (ii) the Administrative Agent to charge any deposit account of the Borrower maintained with the Administrative Agent for each payment of principal, interest and fees as it becomes due hereunder or any other amount due under the Loan Documents.</w:t>
      </w:r>
    </w:p>
    <w:p>
      <w:pPr>
        <w:spacing w:after="0" w:line="169" w:lineRule="exact"/>
        <w:rPr>
          <w:rFonts w:ascii="Times New Roman" w:cs="Times New Roman" w:eastAsia="Times New Roman" w:hAnsi="Times New Roman"/>
          <w:sz w:val="20"/>
          <w:szCs w:val="20"/>
          <w:color w:val="010000"/>
        </w:rPr>
      </w:pPr>
    </w:p>
    <w:p>
      <w:pPr>
        <w:jc w:val="both"/>
        <w:ind w:firstLine="656"/>
        <w:spacing w:after="0" w:line="209" w:lineRule="auto"/>
        <w:tabs>
          <w:tab w:leader="none" w:pos="1284"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except as otherwise expressly provided herein,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or sale of a participation in any of its Loans or participations in LC Disbursements or Swingline Loans to any assignee or participant, other than to the Borrower or any Subsidiary or Affiliate thereof (as to which the provisions of this paragraph shall apply). Without limiting the foregoing, it is understood and agreed that Loans and LC Exposure denominated in Foreign Currencies shall be repaid to the Global Lenders (and not Non-Global Lenders) in accordance with the terms hereof.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5"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86"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the Administrative Agent shall have received, prior to any date on which any payment is due to the Administrative Agent for the account of the relevant Lenders or the Issuing Bank pursuant to the terms hereof or any other Loan Document (including any date that is fixed for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notice from the Borrower to the Administrative Agent pursuant to Section 2.11(c)), notice from the Borrower that the Borrower will not</w:t>
      </w:r>
    </w:p>
    <w:p>
      <w:pPr>
        <w:spacing w:after="0" w:line="204" w:lineRule="auto"/>
        <w:rPr>
          <w:sz w:val="20"/>
          <w:szCs w:val="20"/>
          <w:color w:val="auto"/>
        </w:rPr>
      </w:pPr>
      <w:r>
        <w:rPr>
          <w:rFonts w:ascii="Times New Roman" w:cs="Times New Roman" w:eastAsia="Times New Roman" w:hAnsi="Times New Roman"/>
          <w:sz w:val="20"/>
          <w:szCs w:val="20"/>
          <w:color w:val="auto"/>
        </w:rPr>
        <w:t>make such payment or prepayment, the Administrative Agent may assume that the Borrower has made such payment on such date in accordance herewith and may, in reliance upon such assumption, distribute to the Lenders or the Issuing Bank, as the case may be, the</w:t>
      </w:r>
    </w:p>
    <w:p>
      <w:pPr>
        <w:spacing w:after="0" w:line="223" w:lineRule="auto"/>
        <w:rPr>
          <w:sz w:val="20"/>
          <w:szCs w:val="20"/>
          <w:color w:val="auto"/>
        </w:rPr>
      </w:pPr>
      <w:r>
        <w:rPr>
          <w:rFonts w:ascii="Times New Roman" w:cs="Times New Roman" w:eastAsia="Times New Roman" w:hAnsi="Times New Roman"/>
          <w:sz w:val="19"/>
          <w:szCs w:val="19"/>
          <w:color w:val="auto"/>
        </w:rPr>
        <w:t>amount due. In such event, if the Borrower has not in fact made such payment, then each of the Lenders or the Issuing Bank, as the case may</w:t>
      </w:r>
    </w:p>
    <w:p>
      <w:pPr>
        <w:spacing w:after="0" w:line="204" w:lineRule="auto"/>
        <w:rPr>
          <w:sz w:val="20"/>
          <w:szCs w:val="20"/>
          <w:color w:val="auto"/>
        </w:rPr>
      </w:pPr>
      <w:r>
        <w:rPr>
          <w:rFonts w:ascii="Times New Roman" w:cs="Times New Roman" w:eastAsia="Times New Roman" w:hAnsi="Times New Roman"/>
          <w:sz w:val="20"/>
          <w:szCs w:val="20"/>
          <w:color w:val="auto"/>
        </w:rPr>
        <w:t>be, severally agrees to repay to the Administrative Agent forthwith on demand the amount so distributed to such Lender or Issuing Bank with interest thereon, for each day from and including the date such amount is distributed to it to but excluding the date of payment to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Administrative Agent, at the greater of the applicable Overnight Rate and a rate determined by the Administrative Agent in accordance with banking industry rules on interbank compensation.</w:t>
      </w:r>
    </w:p>
    <w:p>
      <w:pPr>
        <w:spacing w:after="0" w:line="149" w:lineRule="exact"/>
        <w:rPr>
          <w:sz w:val="20"/>
          <w:szCs w:val="20"/>
          <w:color w:val="auto"/>
        </w:rPr>
      </w:pPr>
    </w:p>
    <w:p>
      <w:pPr>
        <w:jc w:val="both"/>
        <w:ind w:firstLine="656"/>
        <w:spacing w:after="0" w:line="215" w:lineRule="auto"/>
        <w:tabs>
          <w:tab w:leader="none" w:pos="1291" w:val="left"/>
        </w:tabs>
        <w:numPr>
          <w:ilvl w:val="0"/>
          <w:numId w:val="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may from time to time provide the Borrower with account statements or invoices with respect to any of the Secured Obligations (the “</w:t>
      </w:r>
      <w:r>
        <w:rPr>
          <w:rFonts w:ascii="Times New Roman" w:cs="Times New Roman" w:eastAsia="Times New Roman" w:hAnsi="Times New Roman"/>
          <w:sz w:val="20"/>
          <w:szCs w:val="20"/>
          <w:u w:val="single" w:color="auto"/>
          <w:color w:val="auto"/>
        </w:rPr>
        <w:t>Statements</w:t>
      </w:r>
      <w:r>
        <w:rPr>
          <w:rFonts w:ascii="Times New Roman" w:cs="Times New Roman" w:eastAsia="Times New Roman" w:hAnsi="Times New Roman"/>
          <w:sz w:val="20"/>
          <w:szCs w:val="20"/>
          <w:color w:val="auto"/>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 pays the full amount indicated on a Statement on or before the due date indicated on such Statement, the Borrower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2.20</w:t>
      </w:r>
      <w:r>
        <w:rPr>
          <w:sz w:val="20"/>
          <w:szCs w:val="20"/>
          <w:color w:val="auto"/>
        </w:rPr>
        <w:tab/>
      </w:r>
      <w:r>
        <w:rPr>
          <w:rFonts w:ascii="Times New Roman" w:cs="Times New Roman" w:eastAsia="Times New Roman" w:hAnsi="Times New Roman"/>
          <w:sz w:val="19"/>
          <w:szCs w:val="19"/>
          <w:u w:val="single" w:color="auto"/>
          <w:color w:val="auto"/>
        </w:rPr>
        <w:t>Mitigation Obligations; Replacement of Lenders</w:t>
      </w:r>
      <w:r>
        <w:rPr>
          <w:rFonts w:ascii="Times New Roman" w:cs="Times New Roman" w:eastAsia="Times New Roman" w:hAnsi="Times New Roman"/>
          <w:sz w:val="19"/>
          <w:szCs w:val="19"/>
          <w:color w:val="auto"/>
        </w:rPr>
        <w:t>.</w:t>
      </w:r>
    </w:p>
    <w:p>
      <w:pPr>
        <w:jc w:val="both"/>
        <w:ind w:firstLine="656"/>
        <w:spacing w:after="0" w:line="212" w:lineRule="auto"/>
        <w:tabs>
          <w:tab w:leader="none" w:pos="1286" w:val="left"/>
        </w:tabs>
        <w:numPr>
          <w:ilvl w:val="1"/>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62" w:lineRule="exact"/>
        <w:rPr>
          <w:rFonts w:ascii="Times New Roman" w:cs="Times New Roman" w:eastAsia="Times New Roman" w:hAnsi="Times New Roman"/>
          <w:sz w:val="20"/>
          <w:szCs w:val="20"/>
          <w:color w:val="010000"/>
        </w:rPr>
      </w:pPr>
    </w:p>
    <w:p>
      <w:pPr>
        <w:jc w:val="both"/>
        <w:ind w:firstLine="656"/>
        <w:spacing w:after="0" w:line="219" w:lineRule="auto"/>
        <w:tabs>
          <w:tab w:leader="none" w:pos="1284" w:val="left"/>
        </w:tabs>
        <w:numPr>
          <w:ilvl w:val="1"/>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any Lender requests compensation under Section 2.15, or if the Borrower is required to pay any Indemnified Taxes or additional amounts to any Lender or any Governmental Authority for the account of any Lender pursuant to Section 2.17,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other Loan Documents to an assignee (other than any Ineligible Institution) that shall assume such obligations (which assignee may be another Lender, if a Lender accepts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Borrower shall have received the prior written consent of the Administrative Agent (and in circumstances where its consent would be required under Section 9.04,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w:t>
      </w:r>
    </w:p>
    <w:p>
      <w:pPr>
        <w:spacing w:after="0" w:line="1" w:lineRule="exact"/>
        <w:rPr>
          <w:rFonts w:ascii="Times New Roman" w:cs="Times New Roman" w:eastAsia="Times New Roman" w:hAnsi="Times New Roman"/>
          <w:sz w:val="19"/>
          <w:szCs w:val="19"/>
          <w:color w:val="010000"/>
        </w:rPr>
      </w:pPr>
    </w:p>
    <w:p>
      <w:pPr>
        <w:jc w:val="both"/>
        <w:ind w:firstLine="8"/>
        <w:spacing w:after="0" w:line="218" w:lineRule="auto"/>
        <w:tabs>
          <w:tab w:leader="none" w:pos="28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required pursuant to this paragraph may be effected pursuant to an Assignment and Assumption executed by the Borrower, the Administrative Agent and the assignee (or, to the extent applicable, an agreement incorporating an Assignment and Assumption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an Approved Electronic Platform as to which the Administrative Agent and such parties are participants), and (y) the Lender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assignment agree to execute and deliver such documents necessary to evidence such assignment as reasonably requested by the applicable Lender, provided that any such documents shall be without recourse to or warranty by the parties thereto.</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2.21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Notwithstanding any provision of this Agreement to the contrary, if any Lender becomes a Defaulting Lender, then the following provisions shall apply for so long as such Lender is a Defaulting Lender:</w:t>
      </w:r>
    </w:p>
    <w:p>
      <w:pPr>
        <w:ind w:left="1300" w:hanging="644"/>
        <w:spacing w:after="0" w:line="198" w:lineRule="auto"/>
        <w:tabs>
          <w:tab w:leader="none" w:pos="1300"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fees shall cease to accrue on the unfunded portion of the Revolving Commitment of such Defaulting Lender pursuant to</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2.12(a);</w:t>
      </w:r>
    </w:p>
    <w:p>
      <w:pPr>
        <w:spacing w:after="0" w:line="166" w:lineRule="exact"/>
        <w:rPr>
          <w:rFonts w:ascii="Times New Roman" w:cs="Times New Roman" w:eastAsia="Times New Roman" w:hAnsi="Times New Roman"/>
          <w:sz w:val="20"/>
          <w:szCs w:val="20"/>
          <w:color w:val="010000"/>
        </w:rPr>
      </w:pPr>
    </w:p>
    <w:p>
      <w:pPr>
        <w:jc w:val="both"/>
        <w:ind w:firstLine="656"/>
        <w:spacing w:after="0" w:line="208" w:lineRule="auto"/>
        <w:tabs>
          <w:tab w:leader="none" w:pos="1284"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Issuing Bank or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cash collateralize the LC Exposure with respect to such Defaulting Lender in accordance with this Section;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future LC Exposure with respect to such Defaulting Lender with respect to future Letters of Credit issued under this Agreement, in accordance with this Section;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the Issuing Bank or Swingline Lender as a result of any judgment of a court of competent jurisdiction obtained by any Lender, the Issuing Bank or Swingline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Revolving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77"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286"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Defaulting Lender shall not have the right to vote on any issue on which voting is required (other than to the extent expressly provided in Section 9.02(b)) and the Revolving Commitment and Revolving Exposure of such Defaulting Lender shall not be included in determining whether the Required Lenders have taken or may take any action hereunder or under any other Loan Document; provided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76"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Swingline Exposure or LC Exposure exists at the time such Lender becomes a Defaulting Lender then:</w:t>
      </w:r>
    </w:p>
    <w:p>
      <w:pPr>
        <w:spacing w:after="0" w:line="188" w:lineRule="exact"/>
        <w:rPr>
          <w:rFonts w:ascii="Times New Roman" w:cs="Times New Roman" w:eastAsia="Times New Roman" w:hAnsi="Times New Roman"/>
          <w:sz w:val="20"/>
          <w:szCs w:val="20"/>
          <w:color w:val="010000"/>
        </w:rPr>
      </w:pPr>
    </w:p>
    <w:p>
      <w:pPr>
        <w:jc w:val="both"/>
        <w:ind w:left="660" w:firstLine="644"/>
        <w:spacing w:after="0" w:line="217" w:lineRule="auto"/>
        <w:tabs>
          <w:tab w:leader="none" w:pos="1954"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or any part of the Swingline Exposure and LC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w:t>
      </w:r>
    </w:p>
    <w:p>
      <w:pPr>
        <w:spacing w:after="0" w:line="161" w:lineRule="exact"/>
        <w:rPr>
          <w:rFonts w:ascii="Times New Roman" w:cs="Times New Roman" w:eastAsia="Times New Roman" w:hAnsi="Times New Roman"/>
          <w:sz w:val="20"/>
          <w:szCs w:val="20"/>
          <w:color w:val="010000"/>
        </w:rPr>
      </w:pPr>
    </w:p>
    <w:p>
      <w:pPr>
        <w:jc w:val="both"/>
        <w:ind w:left="660" w:firstLine="644"/>
        <w:spacing w:after="0" w:line="220" w:lineRule="auto"/>
        <w:tabs>
          <w:tab w:leader="none" w:pos="1955"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the reallocation described in clause (i) above cannot, or can only partially, be effected, the Borrower shall within one (1) Business Day following notice by the Administrative Agent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such Swingline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47" w:lineRule="exact"/>
        <w:rPr>
          <w:rFonts w:ascii="Times New Roman" w:cs="Times New Roman" w:eastAsia="Times New Roman" w:hAnsi="Times New Roman"/>
          <w:sz w:val="20"/>
          <w:szCs w:val="20"/>
          <w:color w:val="010000"/>
        </w:rPr>
      </w:pPr>
    </w:p>
    <w:p>
      <w:pPr>
        <w:jc w:val="both"/>
        <w:ind w:left="660" w:firstLine="644"/>
        <w:spacing w:after="0" w:line="230" w:lineRule="auto"/>
        <w:tabs>
          <w:tab w:leader="none" w:pos="1956"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148" w:lineRule="exact"/>
        <w:rPr>
          <w:rFonts w:ascii="Times New Roman" w:cs="Times New Roman" w:eastAsia="Times New Roman" w:hAnsi="Times New Roman"/>
          <w:sz w:val="20"/>
          <w:szCs w:val="20"/>
          <w:color w:val="010000"/>
        </w:rPr>
      </w:pPr>
    </w:p>
    <w:p>
      <w:pPr>
        <w:jc w:val="both"/>
        <w:ind w:left="660" w:firstLine="644"/>
        <w:spacing w:after="0" w:line="230" w:lineRule="auto"/>
        <w:tabs>
          <w:tab w:leader="none" w:pos="1945"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LC Exposure of the non-Defaulting Lenders is reallocated pursuant to clause (i) above, then the fees payable to the Lenders pursuant to Sections 2.12(a) and 2.12(b) shall be adjusted in accordance with such non-Defaulting Lenders’ Applicable Percentages; and</w:t>
      </w:r>
    </w:p>
    <w:p>
      <w:pPr>
        <w:spacing w:after="0" w:line="148" w:lineRule="exact"/>
        <w:rPr>
          <w:rFonts w:ascii="Times New Roman" w:cs="Times New Roman" w:eastAsia="Times New Roman" w:hAnsi="Times New Roman"/>
          <w:sz w:val="20"/>
          <w:szCs w:val="20"/>
          <w:color w:val="010000"/>
        </w:rPr>
      </w:pPr>
    </w:p>
    <w:p>
      <w:pPr>
        <w:jc w:val="both"/>
        <w:ind w:left="660" w:firstLine="644"/>
        <w:spacing w:after="0" w:line="222" w:lineRule="auto"/>
        <w:tabs>
          <w:tab w:leader="none" w:pos="1944"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161"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286"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 long as such Lender is a Defaulting Lender, the Swingline Lender shall not be required to fund any Swingline Loan and the Issuing Bank shall not be required to issue, amend, renew, extend or increase any Letter of Credit, unless it is satisfied that the related exposure and such Defaulting Lender’s then outstanding LC Exposure will be 100% covered by the Revolving Commitments of the non-Defaulting Lenders and/or cash collateral will be provided by the Borrower in accordance with Section 2.20(d), and Swingline Exposure related to any such newly made Swingline Loan or LC Exposure related to any newly issued or increased Letter of Credit shall be allocated among non-Defaulting Lenders in a manner consistent with Section 2.20(d)(i) (and such Defaulting Lender shall not participate therein).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(i) a Bankruptcy Event or a Bail-In Action with respect to the Parent of any Lender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 or such Lender, satisfactory to the Swingline Lender or the Issuing Bank, as the case may be, to defease any risk to it in respect of such Lender hereunder.</w:t>
      </w:r>
    </w:p>
    <w:p>
      <w:pPr>
        <w:spacing w:after="0" w:line="17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In the event that each of the Administrative Agent, the Borrower, the Swingline Lender and the Issuing Bank agrees that a Defaulting Lender has adequately remedied all matters that caused such Lender to be a Defaulting Lender, then the Swingline Exposure and LC Exposure of the Lenders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68"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2.22 </w:t>
      </w:r>
      <w:r>
        <w:rPr>
          <w:rFonts w:ascii="Times New Roman" w:cs="Times New Roman" w:eastAsia="Times New Roman" w:hAnsi="Times New Roman"/>
          <w:sz w:val="20"/>
          <w:szCs w:val="20"/>
          <w:u w:val="single" w:color="auto"/>
          <w:color w:val="auto"/>
        </w:rPr>
        <w:t>Returned Payments</w:t>
      </w:r>
      <w:r>
        <w:rPr>
          <w:rFonts w:ascii="Times New Roman" w:cs="Times New Roman" w:eastAsia="Times New Roman" w:hAnsi="Times New Roman"/>
          <w:sz w:val="20"/>
          <w:szCs w:val="20"/>
          <w:color w:val="auto"/>
        </w:rPr>
        <w:t>. If, after receipt of any payment which is applied to the payment of all or any part of the Obligations (including a payment effected through exercise of a right of setoff), the Administrative Agent or any Lender is for any reason compelled to</w:t>
      </w:r>
    </w:p>
    <w:p>
      <w:pPr>
        <w:spacing w:after="0" w:line="212" w:lineRule="auto"/>
        <w:rPr>
          <w:sz w:val="20"/>
          <w:szCs w:val="20"/>
          <w:color w:val="auto"/>
        </w:rPr>
      </w:pPr>
      <w:r>
        <w:rPr>
          <w:rFonts w:ascii="Times New Roman" w:cs="Times New Roman" w:eastAsia="Times New Roman" w:hAnsi="Times New Roman"/>
          <w:sz w:val="20"/>
          <w:szCs w:val="20"/>
          <w:color w:val="auto"/>
        </w:rPr>
        <w:t>surrender such payment or proceeds to any Person because such payment or application of proceeds is invalidated, declared fraudulent, set</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aside, determined to be void or voidable as a preference, impermissible setoff, or a diversion of trust funds, or for any other reason (including pursuant to any settlement entered into by the Administrative Agent or such Lender in its discretion), then the Obligations or part thereof</w:t>
      </w:r>
    </w:p>
    <w:p>
      <w:pPr>
        <w:spacing w:after="0" w:line="222" w:lineRule="auto"/>
        <w:rPr>
          <w:sz w:val="20"/>
          <w:szCs w:val="20"/>
          <w:color w:val="auto"/>
        </w:rPr>
      </w:pPr>
      <w:r>
        <w:rPr>
          <w:rFonts w:ascii="Times New Roman" w:cs="Times New Roman" w:eastAsia="Times New Roman" w:hAnsi="Times New Roman"/>
          <w:sz w:val="19"/>
          <w:szCs w:val="19"/>
          <w:color w:val="auto"/>
        </w:rPr>
        <w:t>intended to be satisfied shall be revived and continued and this Agreement shall continue in full force as if such payment or proceeds had not</w:t>
      </w:r>
    </w:p>
    <w:p>
      <w:pPr>
        <w:jc w:val="both"/>
        <w:spacing w:after="0" w:line="215" w:lineRule="auto"/>
        <w:rPr>
          <w:sz w:val="20"/>
          <w:szCs w:val="20"/>
          <w:color w:val="auto"/>
        </w:rPr>
      </w:pPr>
      <w:r>
        <w:rPr>
          <w:rFonts w:ascii="Times New Roman" w:cs="Times New Roman" w:eastAsia="Times New Roman" w:hAnsi="Times New Roman"/>
          <w:sz w:val="19"/>
          <w:szCs w:val="19"/>
          <w:color w:val="auto"/>
        </w:rPr>
        <w:t>been received by the Administrative Agent or such Lender. The provisions of this Section 2.21 shall be and remain effective notwithstanding any contrary action which may have been taken by the Administrative Agent or any Lender in reliance upon such payment or application of</w:t>
      </w:r>
    </w:p>
    <w:p>
      <w:pPr>
        <w:spacing w:after="0" w:line="211" w:lineRule="auto"/>
        <w:rPr>
          <w:sz w:val="20"/>
          <w:szCs w:val="20"/>
          <w:color w:val="auto"/>
        </w:rPr>
      </w:pPr>
      <w:r>
        <w:rPr>
          <w:rFonts w:ascii="Times New Roman" w:cs="Times New Roman" w:eastAsia="Times New Roman" w:hAnsi="Times New Roman"/>
          <w:sz w:val="20"/>
          <w:szCs w:val="20"/>
          <w:color w:val="auto"/>
        </w:rPr>
        <w:t>proceeds. The provisions of this Section 2.21 shall survive the termination of this Agreement.</w:t>
      </w:r>
    </w:p>
    <w:p>
      <w:pPr>
        <w:jc w:val="both"/>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2.23 </w:t>
      </w:r>
      <w:r>
        <w:rPr>
          <w:rFonts w:ascii="Times New Roman" w:cs="Times New Roman" w:eastAsia="Times New Roman" w:hAnsi="Times New Roman"/>
          <w:sz w:val="20"/>
          <w:szCs w:val="20"/>
          <w:u w:val="single" w:color="auto"/>
          <w:color w:val="auto"/>
        </w:rPr>
        <w:t>Banking Services and Swap Agreements</w:t>
      </w:r>
      <w:r>
        <w:rPr>
          <w:rFonts w:ascii="Times New Roman" w:cs="Times New Roman" w:eastAsia="Times New Roman" w:hAnsi="Times New Roman"/>
          <w:sz w:val="20"/>
          <w:szCs w:val="20"/>
          <w:color w:val="auto"/>
        </w:rPr>
        <w:t>. Each Lender or Affiliate thereof providing Banking Services for, or having Swap Agreements with, any Loan Party or any Subsidiary shall deliver to the Administrative Agent, promptly after entering into such Banking</w:t>
      </w:r>
    </w:p>
    <w:p>
      <w:pPr>
        <w:spacing w:after="0" w:line="211" w:lineRule="auto"/>
        <w:rPr>
          <w:sz w:val="20"/>
          <w:szCs w:val="20"/>
          <w:color w:val="auto"/>
        </w:rPr>
      </w:pPr>
      <w:r>
        <w:rPr>
          <w:rFonts w:ascii="Times New Roman" w:cs="Times New Roman" w:eastAsia="Times New Roman" w:hAnsi="Times New Roman"/>
          <w:sz w:val="20"/>
          <w:szCs w:val="20"/>
          <w:color w:val="auto"/>
        </w:rPr>
        <w:t>Services or Swap Agreements, written notice setting forth the aggregate amount of all Banking Services Obligations and Swap Agreement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Obligations of such Loan Party or Subsidiary to such Lender or Affiliate (whether matured or unmatured, absolute or contingent). In furtherance of that requirement, each such Lender or Affiliate thereof shall furnish the Administrative Agent, from time to time after a</w:t>
      </w:r>
    </w:p>
    <w:p>
      <w:pPr>
        <w:spacing w:after="0" w:line="211" w:lineRule="auto"/>
        <w:rPr>
          <w:sz w:val="20"/>
          <w:szCs w:val="20"/>
          <w:color w:val="auto"/>
        </w:rPr>
      </w:pPr>
      <w:r>
        <w:rPr>
          <w:rFonts w:ascii="Times New Roman" w:cs="Times New Roman" w:eastAsia="Times New Roman" w:hAnsi="Times New Roman"/>
          <w:sz w:val="20"/>
          <w:szCs w:val="20"/>
          <w:color w:val="auto"/>
        </w:rPr>
        <w:t>significant change therein or upon a request therefor, a summary of the amounts due or to become due in respect of such Banking Services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Obligations and Swap Agreement Obligations. The most recent information provided to the Administrative Agent shall be used in determining which tier of the waterfall, contained in Section 2.18(b), such Banking Services Obligations and/or Swap Agreement Obligations</w:t>
      </w:r>
    </w:p>
    <w:p>
      <w:pPr>
        <w:spacing w:after="0" w:line="222" w:lineRule="auto"/>
        <w:rPr>
          <w:sz w:val="20"/>
          <w:szCs w:val="20"/>
          <w:color w:val="auto"/>
        </w:rPr>
      </w:pPr>
      <w:r>
        <w:rPr>
          <w:rFonts w:ascii="Times New Roman" w:cs="Times New Roman" w:eastAsia="Times New Roman" w:hAnsi="Times New Roman"/>
          <w:sz w:val="19"/>
          <w:szCs w:val="19"/>
          <w:color w:val="auto"/>
        </w:rPr>
        <w:t>will be placed. For the avoidance of doubt, so long as BMO or its Affiliate is the Administrative Agent, neither BMO nor any of its Affiliates</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providing Banking Services for, or having Swap Agreements with, any Loan Party or any Subsidiary of a Loan Party shall be required to provide any notice described in this Section 2.22 in respect of such Banking Services or Swap Agreements.</w:t>
      </w:r>
    </w:p>
    <w:p>
      <w:pPr>
        <w:spacing w:after="0" w:line="8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color w:val="010000"/>
        </w:rPr>
        <w:t>3.</w:t>
      </w:r>
    </w:p>
    <w:p>
      <w:pPr>
        <w:spacing w:after="0" w:line="2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Loan Party represents and warrants to the Lenders that:</w:t>
      </w:r>
    </w:p>
    <w:p>
      <w:pPr>
        <w:spacing w:after="0" w:line="21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Organization; Powers</w:t>
      </w:r>
      <w:r>
        <w:rPr>
          <w:rFonts w:ascii="Times New Roman" w:cs="Times New Roman" w:eastAsia="Times New Roman" w:hAnsi="Times New Roman"/>
          <w:sz w:val="20"/>
          <w:szCs w:val="20"/>
          <w:color w:val="auto"/>
        </w:rPr>
        <w:t>. Each Loan Party and each Subsidiary is duly organized or formed, validly existing and in good standing under the laws of the jurisdiction of its organization, has all requisite power and authority to carry on its business as now conducted</w:t>
      </w:r>
    </w:p>
    <w:p>
      <w:pPr>
        <w:spacing w:after="0" w:line="212" w:lineRule="auto"/>
        <w:rPr>
          <w:sz w:val="20"/>
          <w:szCs w:val="20"/>
          <w:color w:val="auto"/>
        </w:rPr>
      </w:pPr>
      <w:r>
        <w:rPr>
          <w:rFonts w:ascii="Times New Roman" w:cs="Times New Roman" w:eastAsia="Times New Roman" w:hAnsi="Times New Roman"/>
          <w:sz w:val="20"/>
          <w:szCs w:val="20"/>
          <w:color w:val="auto"/>
        </w:rPr>
        <w:t>and, except where the failure to do so, individually or in the aggregate, could not reasonably be expected to result in a Material Adverse</w:t>
      </w:r>
    </w:p>
    <w:p>
      <w:pPr>
        <w:spacing w:after="0" w:line="198" w:lineRule="auto"/>
        <w:rPr>
          <w:sz w:val="20"/>
          <w:szCs w:val="20"/>
          <w:color w:val="auto"/>
        </w:rPr>
      </w:pPr>
      <w:r>
        <w:rPr>
          <w:rFonts w:ascii="Times New Roman" w:cs="Times New Roman" w:eastAsia="Times New Roman" w:hAnsi="Times New Roman"/>
          <w:sz w:val="20"/>
          <w:szCs w:val="20"/>
          <w:color w:val="auto"/>
        </w:rPr>
        <w:t>Effect, is qualified to do business in, and is in good standing in, every jurisdiction where such qualification is required.</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The Transactions are within each Loan Party’s corporate or other organizational powers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have been duly authorized by all necessary corporate or other organizational actions and, if required, actions by equity holders. Each Loan Document to which each Loan Party is a party has been duly executed and delivered by such Loan Party and constitutes a legal, valid and</w:t>
      </w:r>
    </w:p>
    <w:p>
      <w:pPr>
        <w:spacing w:after="0" w:line="223" w:lineRule="auto"/>
        <w:rPr>
          <w:sz w:val="20"/>
          <w:szCs w:val="20"/>
          <w:color w:val="auto"/>
        </w:rPr>
      </w:pPr>
      <w:r>
        <w:rPr>
          <w:rFonts w:ascii="Times New Roman" w:cs="Times New Roman" w:eastAsia="Times New Roman" w:hAnsi="Times New Roman"/>
          <w:sz w:val="19"/>
          <w:szCs w:val="19"/>
          <w:color w:val="auto"/>
        </w:rPr>
        <w:t>binding obligation of such Loan Party, enforceable in accordance with its terms, subject to applicable bankruptcy, insolvency, reorganization,</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moratorium or other laws affecting creditors’ rights generally and subject to general principles of equity, regardless of whether considered in a proceeding in equity or at law.</w:t>
      </w:r>
    </w:p>
    <w:p>
      <w:pPr>
        <w:ind w:left="660"/>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Governmental Approvals; No Conflicts</w:t>
      </w:r>
      <w:r>
        <w:rPr>
          <w:rFonts w:ascii="Times New Roman" w:cs="Times New Roman" w:eastAsia="Times New Roman" w:hAnsi="Times New Roman"/>
          <w:sz w:val="19"/>
          <w:szCs w:val="19"/>
          <w:color w:val="auto"/>
        </w:rPr>
        <w:t>. The Transactions (a) do not require any consent or approval of, registration or filing</w:t>
      </w:r>
    </w:p>
    <w:p>
      <w:pPr>
        <w:jc w:val="both"/>
        <w:spacing w:after="0" w:line="215" w:lineRule="auto"/>
        <w:rPr>
          <w:sz w:val="20"/>
          <w:szCs w:val="20"/>
          <w:color w:val="auto"/>
        </w:rPr>
      </w:pPr>
      <w:r>
        <w:rPr>
          <w:rFonts w:ascii="Times New Roman" w:cs="Times New Roman" w:eastAsia="Times New Roman" w:hAnsi="Times New Roman"/>
          <w:sz w:val="19"/>
          <w:szCs w:val="19"/>
          <w:color w:val="auto"/>
        </w:rPr>
        <w:t>with, or any other action by, any Governmental Authority, except such as have been obtained or made and are in full force and effect and except for filings necessary to perfect Liens created pursuant to the Loan Documents, (b) will not violate any Requirement of Law applicable</w:t>
      </w:r>
    </w:p>
    <w:p>
      <w:pPr>
        <w:spacing w:after="0"/>
        <w:rPr>
          <w:sz w:val="20"/>
          <w:szCs w:val="20"/>
          <w:color w:val="auto"/>
        </w:rPr>
      </w:pPr>
      <w:r>
        <w:rPr>
          <w:rFonts w:ascii="Times New Roman" w:cs="Times New Roman" w:eastAsia="Times New Roman" w:hAnsi="Times New Roman"/>
          <w:sz w:val="20"/>
          <w:szCs w:val="20"/>
          <w:color w:val="auto"/>
        </w:rPr>
        <w:t>to any Loan Party or any Subsidiary, (c) will not violate or result in a default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indenture, agreement or other instrument binding upon any Loan Party or any Subsidiary or the assets of any Loan Party or any Subsidiary, or</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give rise to a right thereunder to require any payment to be made by any Loan Party or any Subsidiary, and (d) will not result in the creation or imposition of, or other requirement to create, any Lien on any asset of any Loan Party or any Subsidiary, except Liens created pursuant to</w:t>
      </w:r>
    </w:p>
    <w:p>
      <w:pPr>
        <w:spacing w:after="0" w:line="211" w:lineRule="auto"/>
        <w:rPr>
          <w:sz w:val="20"/>
          <w:szCs w:val="20"/>
          <w:color w:val="auto"/>
        </w:rPr>
      </w:pPr>
      <w:r>
        <w:rPr>
          <w:rFonts w:ascii="Times New Roman" w:cs="Times New Roman" w:eastAsia="Times New Roman" w:hAnsi="Times New Roman"/>
          <w:sz w:val="20"/>
          <w:szCs w:val="20"/>
          <w:color w:val="auto"/>
        </w:rPr>
        <w:t>the Loan Documents.</w:t>
      </w:r>
    </w:p>
    <w:p>
      <w:pPr>
        <w:ind w:left="660"/>
        <w:spacing w:after="0" w:line="208" w:lineRule="auto"/>
        <w:tabs>
          <w:tab w:leader="none" w:pos="12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Financial Condition; No Material Adverse Change</w:t>
      </w:r>
      <w:r>
        <w:rPr>
          <w:rFonts w:ascii="Times New Roman" w:cs="Times New Roman" w:eastAsia="Times New Roman" w:hAnsi="Times New Roman"/>
          <w:sz w:val="19"/>
          <w:szCs w:val="19"/>
          <w:color w:val="auto"/>
        </w:rPr>
        <w:t>.</w:t>
      </w:r>
    </w:p>
    <w:p>
      <w:pPr>
        <w:jc w:val="both"/>
        <w:ind w:firstLine="656"/>
        <w:spacing w:after="0" w:line="214" w:lineRule="auto"/>
        <w:tabs>
          <w:tab w:leader="none" w:pos="1286"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has heretofore furnished to the Lenders its consolidated balance sheet and statements of income, stockholders equity and cash flows (i) as of and for the fiscal year ended December 31, 2025, reported on by BDO USA, LLP, independent public accountants, and (ii) as of and for the fiscal quarter and the portion of the fiscal year ended June 30, 2026, certified by its Financial Officer. Such financial statements present fairly, in all material respects, the financial position and results of operations and cash flows of the Borrower and its consolidated Subsidiaries as of such dates and for such periods in accordance with GAAP, subject to normal year end audit adjustments and the absence of footnotes in the case of the statements referred to in clause (ii) above.</w:t>
      </w:r>
    </w:p>
    <w:p>
      <w:pPr>
        <w:spacing w:after="0" w:line="151" w:lineRule="exact"/>
        <w:rPr>
          <w:rFonts w:ascii="Times New Roman" w:cs="Times New Roman" w:eastAsia="Times New Roman" w:hAnsi="Times New Roman"/>
          <w:sz w:val="20"/>
          <w:szCs w:val="20"/>
          <w:color w:val="010000"/>
        </w:rPr>
      </w:pPr>
    </w:p>
    <w:p>
      <w:pPr>
        <w:ind w:firstLine="656"/>
        <w:spacing w:after="0"/>
        <w:tabs>
          <w:tab w:leader="none" w:pos="1284"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event, change or condition has occurred that has had, or could reasonably be expected to have, a Material Adverse Effect, since December 31, 2025.</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auto"/>
        </w:rPr>
        <w:t>.</w:t>
      </w:r>
    </w:p>
    <w:p>
      <w:pPr>
        <w:jc w:val="both"/>
        <w:ind w:firstLine="656"/>
        <w:spacing w:after="0" w:line="212" w:lineRule="auto"/>
        <w:tabs>
          <w:tab w:leader="none" w:pos="1286"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As of the date of this Agreement, </w:t>
      </w:r>
      <w:r>
        <w:rPr>
          <w:rFonts w:ascii="Times New Roman" w:cs="Times New Roman" w:eastAsia="Times New Roman" w:hAnsi="Times New Roman"/>
          <w:sz w:val="20"/>
          <w:szCs w:val="20"/>
          <w:u w:val="single" w:color="auto"/>
          <w:color w:val="auto"/>
        </w:rPr>
        <w:t>Schedule 3.05</w:t>
      </w:r>
      <w:r>
        <w:rPr>
          <w:rFonts w:ascii="Times New Roman" w:cs="Times New Roman" w:eastAsia="Times New Roman" w:hAnsi="Times New Roman"/>
          <w:sz w:val="20"/>
          <w:szCs w:val="20"/>
          <w:color w:val="auto"/>
        </w:rPr>
        <w:t xml:space="preserve"> sets forth the address of each parcel of real property that is owned or leased by any Loan Party. Each lease or sublease of real property that is material to the business of the Borrower and its Subsidiaries, taken as a whole, is valid and enforceable in accordance with its terms and is in full force and effect, and no default by any Loan Party or Subsidiary party thereto or, to the extent such default could not reasonably be expected to result in a Material Adverse Effect, any other party to any such lease or sublease exists. Each of the Loan Parties and each Subsidiary has good title to, or valid leasehold interests in, all of its material real and personal property, free of all Liens other than those permitted by Section 6.02.</w:t>
      </w:r>
    </w:p>
    <w:p>
      <w:pPr>
        <w:spacing w:after="0" w:line="163"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284"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Loan Party and each Subsidiary owns, or is licensed to use, all trademarks, tradenames, copyrights, patents and other intellectual property material and necessary to its business as currently conducted, a correct and complete list of which, as of the date of this Agreement and to the extent the same is registered or subject to application for registration, is set forth on </w:t>
      </w:r>
      <w:r>
        <w:rPr>
          <w:rFonts w:ascii="Times New Roman" w:cs="Times New Roman" w:eastAsia="Times New Roman" w:hAnsi="Times New Roman"/>
          <w:sz w:val="20"/>
          <w:szCs w:val="20"/>
          <w:u w:val="single" w:color="auto"/>
          <w:color w:val="auto"/>
        </w:rPr>
        <w:t>Schedule 3.05</w:t>
      </w:r>
      <w:r>
        <w:rPr>
          <w:rFonts w:ascii="Times New Roman" w:cs="Times New Roman" w:eastAsia="Times New Roman" w:hAnsi="Times New Roman"/>
          <w:sz w:val="20"/>
          <w:szCs w:val="20"/>
          <w:color w:val="auto"/>
        </w:rPr>
        <w:t xml:space="preserve">, and the use thereof by each Loan Party and each Subsidiary does not infringe upon the rights of any other Person except as could not reasonably be expected to result in a Material Adverse Effect, and except as is set forth on </w:t>
      </w:r>
      <w:r>
        <w:rPr>
          <w:rFonts w:ascii="Times New Roman" w:cs="Times New Roman" w:eastAsia="Times New Roman" w:hAnsi="Times New Roman"/>
          <w:sz w:val="20"/>
          <w:szCs w:val="20"/>
          <w:u w:val="single" w:color="auto"/>
          <w:color w:val="auto"/>
        </w:rPr>
        <w:t>Schedule 3.05</w:t>
      </w:r>
      <w:r>
        <w:rPr>
          <w:rFonts w:ascii="Times New Roman" w:cs="Times New Roman" w:eastAsia="Times New Roman" w:hAnsi="Times New Roman"/>
          <w:sz w:val="20"/>
          <w:szCs w:val="20"/>
          <w:color w:val="auto"/>
        </w:rPr>
        <w:t>, each Loan Party’s and each Subsidiary’s rights thereto are not subject to any licensing agreement or similar arrangement other than those entered into in the ordinary course of business.</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u w:val="single" w:color="auto"/>
          <w:color w:val="auto"/>
        </w:rPr>
        <w:t>Litigation and Environmental Matters</w:t>
      </w:r>
      <w:r>
        <w:rPr>
          <w:rFonts w:ascii="Times New Roman" w:cs="Times New Roman" w:eastAsia="Times New Roman" w:hAnsi="Times New Roman"/>
          <w:sz w:val="19"/>
          <w:szCs w:val="19"/>
          <w:color w:val="auto"/>
        </w:rPr>
        <w:t>.</w:t>
      </w:r>
    </w:p>
    <w:p>
      <w:pPr>
        <w:jc w:val="both"/>
        <w:ind w:firstLine="656"/>
        <w:spacing w:after="0" w:line="216" w:lineRule="auto"/>
        <w:tabs>
          <w:tab w:leader="none" w:pos="1286"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There are no actions, suits or proceedings by or before any arbitrator or Governmental Authority pending against or, to the knowledge of any Loan Party, threatened against or affecting any Loan Party or any Subsidiary (i) as to which there is a reasonable possibility of an adverse determination and that, if adversely determined, could reasonably be expected, individually or in the aggregate, to result in a Material Adverse Effect or (ii) that involve any Loan Document or the Transactions.</w:t>
      </w:r>
    </w:p>
    <w:p>
      <w:pPr>
        <w:spacing w:after="0" w:line="149"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284"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No Loan Party or any Subsidiary has received notice of any claim with respect to any Environmental Liability or knows of any basis for any Environmental Liability, in each case, that could reasonably be expected, individually or in the aggregate, to result in a Material Adverse Effect, and (ii) except with respect to any other matters that, individually or in the aggregate, could not reasonably be expected to result in a Material Adverse Effect, no Loan Party or any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20"/>
          <w:szCs w:val="20"/>
          <w:u w:val="single" w:color="auto"/>
          <w:color w:val="auto"/>
        </w:rPr>
        <w:t>Compliance with Laws and Agreements; No Default</w:t>
      </w:r>
      <w:r>
        <w:rPr>
          <w:rFonts w:ascii="Times New Roman" w:cs="Times New Roman" w:eastAsia="Times New Roman" w:hAnsi="Times New Roman"/>
          <w:sz w:val="20"/>
          <w:szCs w:val="20"/>
          <w:color w:val="auto"/>
        </w:rPr>
        <w:t>. Except where the failure to do so, individually or in the aggregate,</w:t>
      </w:r>
    </w:p>
    <w:p>
      <w:pPr>
        <w:spacing w:after="0" w:line="221" w:lineRule="auto"/>
        <w:rPr>
          <w:sz w:val="20"/>
          <w:szCs w:val="20"/>
          <w:color w:val="auto"/>
        </w:rPr>
      </w:pPr>
      <w:r>
        <w:rPr>
          <w:rFonts w:ascii="Times New Roman" w:cs="Times New Roman" w:eastAsia="Times New Roman" w:hAnsi="Times New Roman"/>
          <w:sz w:val="20"/>
          <w:szCs w:val="20"/>
          <w:color w:val="auto"/>
        </w:rPr>
        <w:t>could not reasonably be expected to result in a Material Adverse Effect, each Loan Party and each Subsidiary is in compliance with (a) all Requirements of Law applicable to 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7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its property and (b) all indentures, agreements and other instruments binding upon it or its property. No Default has occurred and is continuing.</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No Loan Party or any Subsidiary is an “investment company” as defined in, or subject to regulation under, the Investment Company Act of 1940.</w:t>
      </w:r>
    </w:p>
    <w:p>
      <w:pPr>
        <w:spacing w:after="0" w:line="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19"/>
          <w:szCs w:val="19"/>
          <w:color w:val="auto"/>
        </w:rPr>
        <w:t xml:space="preserve">3.9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Each Loan Party and each Subsidiary has timely filed or caused to be filed all Tax returns and reports required to have been filed and has paid or caused to be paid all Taxes required to have been paid by it, except Taxes that are being contested in good faith by</w:t>
      </w:r>
    </w:p>
    <w:p>
      <w:pPr>
        <w:spacing w:after="0" w:line="204" w:lineRule="auto"/>
        <w:rPr>
          <w:sz w:val="20"/>
          <w:szCs w:val="20"/>
          <w:color w:val="auto"/>
        </w:rPr>
      </w:pPr>
      <w:r>
        <w:rPr>
          <w:rFonts w:ascii="Times New Roman" w:cs="Times New Roman" w:eastAsia="Times New Roman" w:hAnsi="Times New Roman"/>
          <w:sz w:val="20"/>
          <w:szCs w:val="20"/>
          <w:color w:val="auto"/>
        </w:rPr>
        <w:t>appropriate proceedings and for which such Loan Party or such Subsidiary, as applicable, has set aside on its books adequate reserves. No tax liens (other than Permitted Encumbrances) have been filed and no claims are being asserted with respect to any such taxes.</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No ERISA Event has occurred or is reasonably expected to occur that, when taken together with all other such ERISA Events for which liability is reasonably expected to occur, could reasonably be expected to result in a Material Adverse Effect.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present value of all accumulated benefit obligations under each Plan (based on the assumptions used for purposes of Statement of Financial Accounting Standards No. 87) did not, as of the date of the most recent financial statements reflecting such amounts, exceed the fair market</w:t>
      </w:r>
    </w:p>
    <w:p>
      <w:pPr>
        <w:spacing w:after="0" w:line="211" w:lineRule="auto"/>
        <w:rPr>
          <w:sz w:val="20"/>
          <w:szCs w:val="20"/>
          <w:color w:val="auto"/>
        </w:rPr>
      </w:pPr>
      <w:r>
        <w:rPr>
          <w:rFonts w:ascii="Times New Roman" w:cs="Times New Roman" w:eastAsia="Times New Roman" w:hAnsi="Times New Roman"/>
          <w:sz w:val="20"/>
          <w:szCs w:val="20"/>
          <w:color w:val="auto"/>
        </w:rPr>
        <w:t>value of the assets of such Plan.</w:t>
      </w:r>
    </w:p>
    <w:p>
      <w:pPr>
        <w:ind w:left="660"/>
        <w:spacing w:after="0" w:line="208" w:lineRule="auto"/>
        <w:tabs>
          <w:tab w:leader="none" w:pos="128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u w:val="single" w:color="auto"/>
          <w:color w:val="auto"/>
        </w:rPr>
        <w:t>Disclosure</w:t>
      </w:r>
      <w:r>
        <w:rPr>
          <w:rFonts w:ascii="Times New Roman" w:cs="Times New Roman" w:eastAsia="Times New Roman" w:hAnsi="Times New Roman"/>
          <w:sz w:val="19"/>
          <w:szCs w:val="19"/>
          <w:color w:val="auto"/>
        </w:rPr>
        <w:t>.</w:t>
      </w:r>
    </w:p>
    <w:p>
      <w:pPr>
        <w:jc w:val="both"/>
        <w:ind w:firstLine="656"/>
        <w:spacing w:after="0" w:line="210" w:lineRule="auto"/>
        <w:tabs>
          <w:tab w:leader="none" w:pos="128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have disclosed to the Lenders all agreements, instruments and corporate or other restrictions to which any Loan Party or any Subsidiary is subject, and all other matters known to it, that, individually or in the aggregate, could reasonably be expected to result in a Material Adverse Effect. None of the reports, memorandums, financial statements, certificates or other written information (other than projected financial information, other forward looking information and information of a general economic or industry-specific nature) furnished by or on behalf of any Loan Party or any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w:t>
      </w:r>
    </w:p>
    <w:p>
      <w:pPr>
        <w:spacing w:after="0" w:line="166" w:lineRule="exact"/>
        <w:rPr>
          <w:rFonts w:ascii="Times New Roman" w:cs="Times New Roman" w:eastAsia="Times New Roman" w:hAnsi="Times New Roman"/>
          <w:sz w:val="20"/>
          <w:szCs w:val="20"/>
          <w:color w:val="auto"/>
        </w:rPr>
      </w:pPr>
    </w:p>
    <w:p>
      <w:pPr>
        <w:ind w:right="20" w:firstLine="656"/>
        <w:spacing w:after="0" w:line="233" w:lineRule="auto"/>
        <w:tabs>
          <w:tab w:leader="none" w:pos="128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20"/>
          <w:szCs w:val="20"/>
          <w:u w:val="single" w:color="auto"/>
          <w:color w:val="auto"/>
        </w:rPr>
        <w:t>Material Agreements</w:t>
      </w:r>
      <w:r>
        <w:rPr>
          <w:rFonts w:ascii="Times New Roman" w:cs="Times New Roman" w:eastAsia="Times New Roman" w:hAnsi="Times New Roman"/>
          <w:sz w:val="20"/>
          <w:szCs w:val="20"/>
          <w:color w:val="auto"/>
        </w:rPr>
        <w:t>. No Loan Party or any Subsidiary is in default in the performance, observance or fulfillment of any of</w:t>
      </w:r>
    </w:p>
    <w:p>
      <w:pPr>
        <w:ind w:right="20"/>
        <w:spacing w:after="0" w:line="204" w:lineRule="auto"/>
        <w:rPr>
          <w:sz w:val="20"/>
          <w:szCs w:val="20"/>
          <w:color w:val="auto"/>
        </w:rPr>
      </w:pPr>
      <w:r>
        <w:rPr>
          <w:rFonts w:ascii="Times New Roman" w:cs="Times New Roman" w:eastAsia="Times New Roman" w:hAnsi="Times New Roman"/>
          <w:sz w:val="20"/>
          <w:szCs w:val="20"/>
          <w:color w:val="auto"/>
        </w:rPr>
        <w:t>the obligations, covenants or conditions contained in (a) any material agreement to which it is a party or (b) any agreement or instrument evidencing or governing Indebtedness, except in each case as could not reasonably be expected to have a Material Adverse Effect.</w:t>
      </w:r>
    </w:p>
    <w:p>
      <w:pPr>
        <w:ind w:left="660"/>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w:t>
      </w:r>
    </w:p>
    <w:p>
      <w:pPr>
        <w:jc w:val="both"/>
        <w:ind w:firstLine="656"/>
        <w:spacing w:after="0" w:line="210" w:lineRule="auto"/>
        <w:tabs>
          <w:tab w:leader="none" w:pos="1286"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Immediately after the consummation of the Transactions to occur on the Effective Date, and immediately after the making of each Loan and each issuance of a Letter of Credit hereunder, (i) the fair value of the assets of each Loan Party, at a fair valuation, will exceed its debts and liabilities, subordinated, contingent or otherwise; (ii) the present fair saleable value of the property of each Loan Party will be greater than the amount that will be required to pay the probable liability of its debts and other liabilities, subordinated, contingent or otherwise, as such debts and other liabilities become absolute and matured; (iii) each Loan Party will be able to pay its debts and liabilities, subordinated, contingent or otherwise, as such debts and liabilities become absolute and matured; and (iv) no Loan Party will have unreasonably small capital with which to conduct the business in which it is engaged as such business is now conducted and is proposed to be conducted after the Effective Date.</w:t>
      </w:r>
    </w:p>
    <w:p>
      <w:pPr>
        <w:spacing w:after="0" w:line="163"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4"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Loan Party intends to, nor will permit any Subsidiary to, and no Loan Party believes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xml:space="preserve"> Schedule 3.14 </w:t>
      </w:r>
      <w:r>
        <w:rPr>
          <w:rFonts w:ascii="Times New Roman" w:cs="Times New Roman" w:eastAsia="Times New Roman" w:hAnsi="Times New Roman"/>
          <w:sz w:val="20"/>
          <w:szCs w:val="20"/>
          <w:color w:val="auto"/>
        </w:rPr>
        <w:t>sets forth a description of all insurance maintained by or on behalf of the Loan Parties and their</w:t>
      </w:r>
    </w:p>
    <w:p>
      <w:pPr>
        <w:spacing w:after="0" w:line="204" w:lineRule="auto"/>
        <w:rPr>
          <w:sz w:val="20"/>
          <w:szCs w:val="20"/>
          <w:color w:val="auto"/>
        </w:rPr>
      </w:pPr>
      <w:r>
        <w:rPr>
          <w:rFonts w:ascii="Times New Roman" w:cs="Times New Roman" w:eastAsia="Times New Roman" w:hAnsi="Times New Roman"/>
          <w:sz w:val="20"/>
          <w:szCs w:val="20"/>
          <w:color w:val="auto"/>
        </w:rPr>
        <w:t>Subsidiaries as of the Effective Date. As of the Effective Date, all premiums in respect of such insurance have been paid. The Loan Parties believe that the insurance maintained by or on behalf of the Loan Parties and their Subsidiaries is adequate and is customary for companies</w:t>
      </w:r>
    </w:p>
    <w:p>
      <w:pPr>
        <w:spacing w:after="0" w:line="211" w:lineRule="auto"/>
        <w:rPr>
          <w:sz w:val="20"/>
          <w:szCs w:val="20"/>
          <w:color w:val="auto"/>
        </w:rPr>
      </w:pPr>
      <w:r>
        <w:rPr>
          <w:rFonts w:ascii="Times New Roman" w:cs="Times New Roman" w:eastAsia="Times New Roman" w:hAnsi="Times New Roman"/>
          <w:sz w:val="20"/>
          <w:szCs w:val="20"/>
          <w:color w:val="auto"/>
        </w:rPr>
        <w:t>engaged in the same or similar businesses operating in the same or similar locations.</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3.15 </w:t>
      </w:r>
      <w:r>
        <w:rPr>
          <w:rFonts w:ascii="Times New Roman" w:cs="Times New Roman" w:eastAsia="Times New Roman" w:hAnsi="Times New Roman"/>
          <w:sz w:val="20"/>
          <w:szCs w:val="20"/>
          <w:u w:val="single" w:color="auto"/>
          <w:color w:val="auto"/>
        </w:rPr>
        <w:t>Capitalization and Subsidiaries</w:t>
      </w:r>
      <w:r>
        <w:rPr>
          <w:rFonts w:ascii="Times New Roman" w:cs="Times New Roman" w:eastAsia="Times New Roman" w:hAnsi="Times New Roman"/>
          <w:sz w:val="20"/>
          <w:szCs w:val="20"/>
          <w:color w:val="auto"/>
        </w:rPr>
        <w:t xml:space="preserve">. As of the Effective Date,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xml:space="preserve"> sets forth (a) a correct and complete list of the name and relationship to the Borrower of each Subsidiary, (b) the type of entity of the Borrower and each Subsidiary, and (c) whether such</w:t>
      </w:r>
    </w:p>
    <w:p>
      <w:pPr>
        <w:spacing w:after="0" w:line="223" w:lineRule="auto"/>
        <w:rPr>
          <w:sz w:val="20"/>
          <w:szCs w:val="20"/>
          <w:color w:val="auto"/>
        </w:rPr>
      </w:pPr>
      <w:r>
        <w:rPr>
          <w:rFonts w:ascii="Times New Roman" w:cs="Times New Roman" w:eastAsia="Times New Roman" w:hAnsi="Times New Roman"/>
          <w:sz w:val="19"/>
          <w:szCs w:val="19"/>
          <w:color w:val="auto"/>
        </w:rPr>
        <w:t>Subsidiary is a Loan Party, Material Subsidiary. All of the issued and outstanding Equity Interests owned by any Loan Party have been (to the</w:t>
      </w:r>
    </w:p>
    <w:p>
      <w:pPr>
        <w:ind w:left="660" w:right="20" w:hanging="647"/>
        <w:spacing w:after="0" w:line="215" w:lineRule="auto"/>
        <w:rPr>
          <w:sz w:val="20"/>
          <w:szCs w:val="20"/>
          <w:color w:val="auto"/>
        </w:rPr>
      </w:pPr>
      <w:r>
        <w:rPr>
          <w:rFonts w:ascii="Times New Roman" w:cs="Times New Roman" w:eastAsia="Times New Roman" w:hAnsi="Times New Roman"/>
          <w:sz w:val="19"/>
          <w:szCs w:val="19"/>
          <w:color w:val="auto"/>
        </w:rPr>
        <w:t xml:space="preserve">extent such concepts are relevant with respect to such ownership interests) duly authorized and issued and are fully paid and non-assessable. 3.16 </w:t>
      </w:r>
      <w:r>
        <w:rPr>
          <w:rFonts w:ascii="Times New Roman" w:cs="Times New Roman" w:eastAsia="Times New Roman" w:hAnsi="Times New Roman"/>
          <w:sz w:val="19"/>
          <w:szCs w:val="19"/>
          <w:u w:val="single" w:color="auto"/>
          <w:color w:val="auto"/>
        </w:rPr>
        <w:t>Security Interest in Collateral</w:t>
      </w:r>
      <w:r>
        <w:rPr>
          <w:rFonts w:ascii="Times New Roman" w:cs="Times New Roman" w:eastAsia="Times New Roman" w:hAnsi="Times New Roman"/>
          <w:sz w:val="19"/>
          <w:szCs w:val="19"/>
          <w:color w:val="auto"/>
        </w:rPr>
        <w:t>. The provisions of this Agreement and the other Loan Documents create legal and valid Liens</w:t>
      </w:r>
    </w:p>
    <w:p>
      <w:pPr>
        <w:spacing w:after="0" w:line="211" w:lineRule="auto"/>
        <w:rPr>
          <w:sz w:val="20"/>
          <w:szCs w:val="20"/>
          <w:color w:val="auto"/>
        </w:rPr>
      </w:pPr>
      <w:r>
        <w:rPr>
          <w:rFonts w:ascii="Times New Roman" w:cs="Times New Roman" w:eastAsia="Times New Roman" w:hAnsi="Times New Roman"/>
          <w:sz w:val="20"/>
          <w:szCs w:val="20"/>
          <w:color w:val="auto"/>
        </w:rPr>
        <w:t>on all the Collateral in favor of the Administrative Agent, for the benefit of the Secured Parties, and such Liens constitute perfected and</w:t>
      </w:r>
    </w:p>
    <w:p>
      <w:pPr>
        <w:spacing w:after="0" w:line="204" w:lineRule="auto"/>
        <w:rPr>
          <w:sz w:val="20"/>
          <w:szCs w:val="20"/>
          <w:color w:val="auto"/>
        </w:rPr>
      </w:pPr>
      <w:r>
        <w:rPr>
          <w:rFonts w:ascii="Times New Roman" w:cs="Times New Roman" w:eastAsia="Times New Roman" w:hAnsi="Times New Roman"/>
          <w:sz w:val="20"/>
          <w:szCs w:val="20"/>
          <w:color w:val="auto"/>
        </w:rPr>
        <w:t>continuing Liens on the Collateral, securing the Secured Obligations, enforceable against the applicable Loan Party and all third parties, and having priority over all other Liens on the Collateral except in the case of (a) Liens permitted by Section 6.02, to the extent any such Liens</w:t>
      </w:r>
    </w:p>
    <w:p>
      <w:pPr>
        <w:spacing w:after="0" w:line="211" w:lineRule="auto"/>
        <w:rPr>
          <w:sz w:val="20"/>
          <w:szCs w:val="20"/>
          <w:color w:val="auto"/>
        </w:rPr>
      </w:pPr>
      <w:r>
        <w:rPr>
          <w:rFonts w:ascii="Times New Roman" w:cs="Times New Roman" w:eastAsia="Times New Roman" w:hAnsi="Times New Roman"/>
          <w:sz w:val="20"/>
          <w:szCs w:val="20"/>
          <w:color w:val="auto"/>
        </w:rPr>
        <w:t>would have priority over the Liens in favor of the Administrative Agent pursuant to any applicable law or agreement expressly permitted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hereunder and (b) Liens perfected only by control or possession (including possession of any certificate of title), to the extent the Administrative Agent has not obtained or does not maintain control or possession of such Collateral.</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3.17</w:t>
      </w:r>
      <w:r>
        <w:rPr>
          <w:sz w:val="20"/>
          <w:szCs w:val="20"/>
          <w:color w:val="auto"/>
        </w:rPr>
        <w:tab/>
      </w:r>
      <w:r>
        <w:rPr>
          <w:rFonts w:ascii="Times New Roman" w:cs="Times New Roman" w:eastAsia="Times New Roman" w:hAnsi="Times New Roman"/>
          <w:sz w:val="20"/>
          <w:szCs w:val="20"/>
          <w:u w:val="single" w:color="auto"/>
          <w:color w:val="auto"/>
        </w:rPr>
        <w:t>Employment Matters</w:t>
      </w:r>
      <w:r>
        <w:rPr>
          <w:rFonts w:ascii="Times New Roman" w:cs="Times New Roman" w:eastAsia="Times New Roman" w:hAnsi="Times New Roman"/>
          <w:sz w:val="20"/>
          <w:szCs w:val="20"/>
          <w:color w:val="auto"/>
        </w:rPr>
        <w:t>. As of the Effective Date, there are no strikes, lockouts or slowdowns against any Loan Party or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Subsidiary pending or, to the knowledge of any Loan Party, threatened. The hours worked by and payments made to employees of the Loan Parties and their Subsidiaries have not been in violation of the Fair Labor Standards Act or any other applicable federal, state, local or foreign</w:t>
      </w:r>
    </w:p>
    <w:p>
      <w:pPr>
        <w:spacing w:after="0" w:line="215" w:lineRule="auto"/>
        <w:rPr>
          <w:sz w:val="20"/>
          <w:szCs w:val="20"/>
          <w:color w:val="auto"/>
        </w:rPr>
      </w:pPr>
      <w:r>
        <w:rPr>
          <w:rFonts w:ascii="Times New Roman" w:cs="Times New Roman" w:eastAsia="Times New Roman" w:hAnsi="Times New Roman"/>
          <w:sz w:val="19"/>
          <w:szCs w:val="19"/>
          <w:color w:val="auto"/>
        </w:rPr>
        <w:t>law dealing with such matters. All payments due from any Loan Party or any Subsidiary, or for which any claim may be made against any Loan Party or any Subsidiary, on account of wages and employee health and welfare insurance and other benefits, have been paid or accrued</w:t>
      </w:r>
    </w:p>
    <w:p>
      <w:pPr>
        <w:spacing w:after="0" w:line="211" w:lineRule="auto"/>
        <w:rPr>
          <w:sz w:val="20"/>
          <w:szCs w:val="20"/>
          <w:color w:val="auto"/>
        </w:rPr>
      </w:pPr>
      <w:r>
        <w:rPr>
          <w:rFonts w:ascii="Times New Roman" w:cs="Times New Roman" w:eastAsia="Times New Roman" w:hAnsi="Times New Roman"/>
          <w:sz w:val="20"/>
          <w:szCs w:val="20"/>
          <w:color w:val="auto"/>
        </w:rPr>
        <w:t>as a liability on the books of such Loan Party or such Subsidiary.</w:t>
      </w: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3.18 </w:t>
      </w:r>
      <w:r>
        <w:rPr>
          <w:rFonts w:ascii="Times New Roman" w:cs="Times New Roman" w:eastAsia="Times New Roman" w:hAnsi="Times New Roman"/>
          <w:sz w:val="20"/>
          <w:szCs w:val="20"/>
          <w:u w:val="single" w:color="auto"/>
          <w:color w:val="auto"/>
        </w:rPr>
        <w:t>Margin Regulations</w:t>
      </w:r>
      <w:r>
        <w:rPr>
          <w:rFonts w:ascii="Times New Roman" w:cs="Times New Roman" w:eastAsia="Times New Roman" w:hAnsi="Times New Roman"/>
          <w:sz w:val="20"/>
          <w:szCs w:val="20"/>
          <w:color w:val="auto"/>
        </w:rPr>
        <w:t>. No Loan Party is engaged and will not engage, principally or as one of its important activities, in the business of purchasing or carrying Margin Stock, or extending credit for the purpose of purchasing or carrying Margin Stock, and no part of</w:t>
      </w:r>
    </w:p>
    <w:p>
      <w:pPr>
        <w:spacing w:after="0" w:line="211" w:lineRule="auto"/>
        <w:rPr>
          <w:sz w:val="20"/>
          <w:szCs w:val="20"/>
          <w:color w:val="auto"/>
        </w:rPr>
      </w:pPr>
      <w:r>
        <w:rPr>
          <w:rFonts w:ascii="Times New Roman" w:cs="Times New Roman" w:eastAsia="Times New Roman" w:hAnsi="Times New Roman"/>
          <w:sz w:val="20"/>
          <w:szCs w:val="20"/>
          <w:color w:val="auto"/>
        </w:rPr>
        <w:t>the proceeds of any Borrowing or Letter of Credit hereunder will be used to buy or carry any Margin Stock. Following the application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proceeds of each Borrowing or drawing under each Letter of Credit, not more than 25% of the value of the assets (either of any Loan Party only or of the Loan Parties and their Subsidiaries on a consolidated basis) will be Margin Stock.</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3.19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Loans have been used and will be used, whether directly or indirectly as set forth in Section 5.08.</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3.20 </w:t>
      </w:r>
      <w:r>
        <w:rPr>
          <w:rFonts w:ascii="Times New Roman" w:cs="Times New Roman" w:eastAsia="Times New Roman" w:hAnsi="Times New Roman"/>
          <w:sz w:val="20"/>
          <w:szCs w:val="20"/>
          <w:u w:val="single" w:color="auto"/>
          <w:color w:val="auto"/>
        </w:rPr>
        <w:t>No Burdensome Restrictions</w:t>
      </w:r>
      <w:r>
        <w:rPr>
          <w:rFonts w:ascii="Times New Roman" w:cs="Times New Roman" w:eastAsia="Times New Roman" w:hAnsi="Times New Roman"/>
          <w:sz w:val="20"/>
          <w:szCs w:val="20"/>
          <w:color w:val="auto"/>
        </w:rPr>
        <w:t>. No Loan Party is subject to any Burdensome Restrictions except Burdensome Restrictions permitted under Section 6.10.</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3.21 </w:t>
      </w:r>
      <w:r>
        <w:rPr>
          <w:rFonts w:ascii="Times New Roman" w:cs="Times New Roman" w:eastAsia="Times New Roman" w:hAnsi="Times New Roman"/>
          <w:sz w:val="20"/>
          <w:szCs w:val="20"/>
          <w:u w:val="single" w:color="auto"/>
          <w:color w:val="auto"/>
        </w:rPr>
        <w:t>Anti-Corruption Laws and Sanctions</w:t>
      </w:r>
      <w:r>
        <w:rPr>
          <w:rFonts w:ascii="Times New Roman" w:cs="Times New Roman" w:eastAsia="Times New Roman" w:hAnsi="Times New Roman"/>
          <w:sz w:val="20"/>
          <w:szCs w:val="20"/>
          <w:color w:val="auto"/>
        </w:rPr>
        <w:t>. Each Loan Party has implemented and maintains in effect policies and procedures designed to ensure compliance by such Loan Party, its Subsidiaries and their respective directors, officers, employees and agents with Anti-</w:t>
      </w:r>
    </w:p>
    <w:p>
      <w:pPr>
        <w:spacing w:after="0" w:line="211" w:lineRule="auto"/>
        <w:rPr>
          <w:sz w:val="20"/>
          <w:szCs w:val="20"/>
          <w:color w:val="auto"/>
        </w:rPr>
      </w:pPr>
      <w:r>
        <w:rPr>
          <w:rFonts w:ascii="Times New Roman" w:cs="Times New Roman" w:eastAsia="Times New Roman" w:hAnsi="Times New Roman"/>
          <w:sz w:val="20"/>
          <w:szCs w:val="20"/>
          <w:color w:val="auto"/>
        </w:rPr>
        <w:t>Corruption Laws and applicable Sanctions, and such Loan Party, its Subsidiaries and their respective officers and directors, and, to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knowledge of such Loan Party, its employees and agents, are in compliance with Anti-Corruption Laws and applicable Sanctions in all material respects and are not knowingly engaged in any activity that could reasonably be expected to result in any Loan Party being</w:t>
      </w:r>
    </w:p>
    <w:p>
      <w:pPr>
        <w:spacing w:after="0" w:line="211" w:lineRule="auto"/>
        <w:rPr>
          <w:sz w:val="20"/>
          <w:szCs w:val="20"/>
          <w:color w:val="auto"/>
        </w:rPr>
      </w:pPr>
      <w:r>
        <w:rPr>
          <w:rFonts w:ascii="Times New Roman" w:cs="Times New Roman" w:eastAsia="Times New Roman" w:hAnsi="Times New Roman"/>
          <w:sz w:val="20"/>
          <w:szCs w:val="20"/>
          <w:color w:val="auto"/>
        </w:rPr>
        <w:t>designated as a Sanctioned Person. None of (a) any Loan Party, any Subsidiary or any of their respective directors, officers or, to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knowledge of any such Loan Party or Subsidiary, employees, or (b) to the knowledge of any such Loan Party or Subsidiary, any agent of such Loan Party or any Subsidiary that will act in any capacity in connection with or benefit from the credit facility established hereby, is a</w:t>
      </w:r>
    </w:p>
    <w:p>
      <w:pPr>
        <w:spacing w:after="0" w:line="211" w:lineRule="auto"/>
        <w:rPr>
          <w:sz w:val="20"/>
          <w:szCs w:val="20"/>
          <w:color w:val="auto"/>
        </w:rPr>
      </w:pPr>
      <w:r>
        <w:rPr>
          <w:rFonts w:ascii="Times New Roman" w:cs="Times New Roman" w:eastAsia="Times New Roman" w:hAnsi="Times New Roman"/>
          <w:sz w:val="20"/>
          <w:szCs w:val="20"/>
          <w:color w:val="auto"/>
        </w:rPr>
        <w:t>Sanctioned Person. No Borrowing or Letter of Credit, use of proceeds, Transaction or other transaction contemplated by this Agreement or</w:t>
      </w:r>
    </w:p>
    <w:p>
      <w:pPr>
        <w:spacing w:after="0" w:line="198" w:lineRule="auto"/>
        <w:rPr>
          <w:sz w:val="20"/>
          <w:szCs w:val="20"/>
          <w:color w:val="auto"/>
        </w:rPr>
      </w:pPr>
      <w:r>
        <w:rPr>
          <w:rFonts w:ascii="Times New Roman" w:cs="Times New Roman" w:eastAsia="Times New Roman" w:hAnsi="Times New Roman"/>
          <w:sz w:val="20"/>
          <w:szCs w:val="20"/>
          <w:color w:val="auto"/>
        </w:rPr>
        <w:t>the other Loan Documents will violate Anti-Corruption Laws or applicable Sanctions.</w:t>
      </w:r>
    </w:p>
    <w:p>
      <w:pPr>
        <w:ind w:left="660"/>
        <w:spacing w:after="0" w:line="222" w:lineRule="auto"/>
        <w:tabs>
          <w:tab w:leader="none" w:pos="128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3.23</w:t>
      </w:r>
      <w:r>
        <w:rPr>
          <w:sz w:val="20"/>
          <w:szCs w:val="20"/>
          <w:color w:val="auto"/>
        </w:rPr>
        <w:tab/>
      </w:r>
      <w:r>
        <w:rPr>
          <w:rFonts w:ascii="Times New Roman" w:cs="Times New Roman" w:eastAsia="Times New Roman" w:hAnsi="Times New Roman"/>
          <w:sz w:val="20"/>
          <w:szCs w:val="20"/>
          <w:u w:val="single" w:color="auto"/>
          <w:color w:val="auto"/>
        </w:rPr>
        <w:t>Common Enterprise</w:t>
      </w:r>
      <w:r>
        <w:rPr>
          <w:rFonts w:ascii="Times New Roman" w:cs="Times New Roman" w:eastAsia="Times New Roman" w:hAnsi="Times New Roman"/>
          <w:sz w:val="20"/>
          <w:szCs w:val="20"/>
          <w:color w:val="auto"/>
        </w:rPr>
        <w:t>. The successful operation and condition of each of the Loan Parties is dependent on the continued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successful performance of the functions of the group of the Loan Parties as a whole and the successful operation of each of the Loan Parties is dependent on the successful performance and operation of each other Loan Party. Each Loan Party expects to derive benefit (and its board</w:t>
      </w:r>
    </w:p>
    <w:p>
      <w:pPr>
        <w:spacing w:after="0" w:line="211" w:lineRule="auto"/>
        <w:rPr>
          <w:sz w:val="20"/>
          <w:szCs w:val="20"/>
          <w:color w:val="auto"/>
        </w:rPr>
      </w:pPr>
      <w:r>
        <w:rPr>
          <w:rFonts w:ascii="Times New Roman" w:cs="Times New Roman" w:eastAsia="Times New Roman" w:hAnsi="Times New Roman"/>
          <w:sz w:val="20"/>
          <w:szCs w:val="20"/>
          <w:color w:val="auto"/>
        </w:rPr>
        <w:t>of directors or other governing body has determined that it may reasonably be expected to derive benefit), directly and indirectly, from (a)</w:t>
      </w:r>
    </w:p>
    <w:p>
      <w:pPr>
        <w:spacing w:after="0"/>
        <w:rPr>
          <w:sz w:val="20"/>
          <w:szCs w:val="20"/>
          <w:color w:val="auto"/>
        </w:rPr>
      </w:pPr>
      <w:r>
        <w:rPr>
          <w:rFonts w:ascii="Times New Roman" w:cs="Times New Roman" w:eastAsia="Times New Roman" w:hAnsi="Times New Roman"/>
          <w:sz w:val="20"/>
          <w:szCs w:val="20"/>
          <w:color w:val="auto"/>
        </w:rPr>
        <w:t>successful operations of each of the other Loan Parties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credit extended by the Lenders to the Borrower hereunder, both in their separate capacities and as members of the group of companies.</w:t>
      </w:r>
    </w:p>
    <w:p>
      <w:pPr>
        <w:spacing w:after="0" w:line="215" w:lineRule="auto"/>
        <w:rPr>
          <w:sz w:val="20"/>
          <w:szCs w:val="20"/>
          <w:color w:val="auto"/>
        </w:rPr>
      </w:pPr>
      <w:r>
        <w:rPr>
          <w:rFonts w:ascii="Times New Roman" w:cs="Times New Roman" w:eastAsia="Times New Roman" w:hAnsi="Times New Roman"/>
          <w:sz w:val="19"/>
          <w:szCs w:val="19"/>
          <w:color w:val="auto"/>
        </w:rPr>
        <w:t>Each Loan Party has determined that execution, delivery, and performance of this Agreement and any other Loan Documents to be executed by such Loan Party is within its purpose, in furtherance of its direct and/or indirect business interests, will be of direct and/or indirect benefit</w:t>
      </w:r>
    </w:p>
    <w:p>
      <w:pPr>
        <w:spacing w:after="0"/>
        <w:rPr>
          <w:sz w:val="20"/>
          <w:szCs w:val="20"/>
          <w:color w:val="auto"/>
        </w:rPr>
      </w:pPr>
      <w:r>
        <w:rPr>
          <w:rFonts w:ascii="Times New Roman" w:cs="Times New Roman" w:eastAsia="Times New Roman" w:hAnsi="Times New Roman"/>
          <w:sz w:val="20"/>
          <w:szCs w:val="20"/>
          <w:color w:val="auto"/>
        </w:rPr>
        <w:t>to such Loan Party, and is in its best interest.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3.24 </w:t>
      </w:r>
      <w:r>
        <w:rPr>
          <w:rFonts w:ascii="Times New Roman" w:cs="Times New Roman" w:eastAsia="Times New Roman" w:hAnsi="Times New Roman"/>
          <w:sz w:val="20"/>
          <w:szCs w:val="20"/>
          <w:u w:val="single" w:color="auto"/>
          <w:color w:val="auto"/>
        </w:rPr>
        <w:t>Plan Assets; Prohibited Transactions</w:t>
      </w:r>
      <w:r>
        <w:rPr>
          <w:rFonts w:ascii="Times New Roman" w:cs="Times New Roman" w:eastAsia="Times New Roman" w:hAnsi="Times New Roman"/>
          <w:sz w:val="20"/>
          <w:szCs w:val="20"/>
          <w:color w:val="auto"/>
        </w:rPr>
        <w:t>. Subject to the accuracy of the Lenders’ representations in Section 8.09(a), no Loan Party or any of its Subsidiaries is an entity deemed to hold “plan assets” (within the meaning of the Plan Asset Regulations), and neither the</w:t>
      </w:r>
    </w:p>
    <w:p>
      <w:pPr>
        <w:spacing w:after="0" w:line="212" w:lineRule="auto"/>
        <w:rPr>
          <w:sz w:val="20"/>
          <w:szCs w:val="20"/>
          <w:color w:val="auto"/>
        </w:rPr>
      </w:pPr>
      <w:r>
        <w:rPr>
          <w:rFonts w:ascii="Times New Roman" w:cs="Times New Roman" w:eastAsia="Times New Roman" w:hAnsi="Times New Roman"/>
          <w:sz w:val="20"/>
          <w:szCs w:val="20"/>
          <w:color w:val="auto"/>
        </w:rPr>
        <w:t>execution, delivery nor performance of the transactions contemplated under this Agreement, including the making of any Loan and the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issuance of any Letter of Credit hereunder, will give rise to a non-exempt prohibited transaction under Section 406 of ERISA or Section 4975 of the Code.</w:t>
      </w:r>
    </w:p>
    <w:p>
      <w:pPr>
        <w:spacing w:after="0" w:line="8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color w:val="010000"/>
        </w:rPr>
        <w:t>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94"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obligations of the Lenders to make Loans and of the Issuing Bank to issue Letters of Credit hereunder shall not become effective until the date on which each of the following conditions is satisfied (or waived in accordance with Section 9.02):</w:t>
      </w:r>
    </w:p>
    <w:p>
      <w:pPr>
        <w:spacing w:after="0" w:line="1" w:lineRule="exact"/>
        <w:rPr>
          <w:sz w:val="20"/>
          <w:szCs w:val="20"/>
          <w:color w:val="auto"/>
        </w:rPr>
      </w:pPr>
    </w:p>
    <w:p>
      <w:pPr>
        <w:jc w:val="both"/>
        <w:ind w:firstLine="656"/>
        <w:spacing w:after="0" w:line="212" w:lineRule="auto"/>
        <w:tabs>
          <w:tab w:leader="none" w:pos="1286"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Credit Agreement and Loan Documents</w:t>
      </w:r>
      <w:r>
        <w:rPr>
          <w:rFonts w:ascii="Times New Roman" w:cs="Times New Roman" w:eastAsia="Times New Roman" w:hAnsi="Times New Roman"/>
          <w:sz w:val="20"/>
          <w:szCs w:val="20"/>
          <w:color w:val="auto"/>
        </w:rPr>
        <w:t>. The Administrative Agent (or its counsel) shall have received (i)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 and (ii) duly executed copies of the Loan Documents and such other legal opinions, certificates, documents, instruments and agreements as the Administrative Agent shall reasonably request in connection with the Transactions and the other Loan Documents, including any promissory notes requested by a Lender pursuant to Section 2.10 payable to the order of each such requesting Lender and a written opinion of the Loan Parties’ counsel, addressed to the Administrative Agent, the Issuing Bank and the Lenders, all in form and substance satisfactory to the Administrative Agent.</w:t>
      </w:r>
    </w:p>
    <w:p>
      <w:pPr>
        <w:spacing w:after="0" w:line="161"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84"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Financial Statements and Projections</w:t>
      </w:r>
      <w:r>
        <w:rPr>
          <w:rFonts w:ascii="Times New Roman" w:cs="Times New Roman" w:eastAsia="Times New Roman" w:hAnsi="Times New Roman"/>
          <w:sz w:val="20"/>
          <w:szCs w:val="20"/>
          <w:color w:val="auto"/>
        </w:rPr>
        <w:t>. The Lenders shall have received (i) audited consolidated financial statements of the Borrower and its Subsidiaries for the 2024 and 2025 fiscal years, (ii) unaudited interim consolidated financial statements of the Borrower and its Subsidiaries for each fiscal quarter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the Borrower and its Subsidiaries, as reflected in the audited, consolidated financial statements described in clause (i) of this paragraph and (iii) satisfactory Projections through 2030.</w:t>
      </w:r>
    </w:p>
    <w:p>
      <w:pPr>
        <w:spacing w:after="0" w:line="164"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86"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Closing Certificates; Certified Certificate of Incorporation; Good Standing Certificates</w:t>
      </w:r>
      <w:r>
        <w:rPr>
          <w:rFonts w:ascii="Times New Roman" w:cs="Times New Roman" w:eastAsia="Times New Roman" w:hAnsi="Times New Roman"/>
          <w:sz w:val="20"/>
          <w:szCs w:val="20"/>
          <w:color w:val="auto"/>
        </w:rPr>
        <w:t>. The Administrative Agent shall have received (i) a certificate of each Loan Party, dated the Effective Date and executed by its Secretary or Assistant Secretary, which shall (A) certify the resolutions of its Board of Directors, members or other governing body authorizing the execution, delivery and performance of the Loan Documents to which it is a party, (B) identify by name and title and bear the signatures of the officers of such Loan Party authorized to sign the Loan Documents to which it is a party and, in the case of the Borrower, its Financial Officers, and (C)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long form good standing certificate for each Loan Party from its jurisdiction of organization.</w:t>
      </w:r>
    </w:p>
    <w:p>
      <w:pPr>
        <w:spacing w:after="0" w:line="161"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4"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Default Certificate</w:t>
      </w:r>
      <w:r>
        <w:rPr>
          <w:rFonts w:ascii="Times New Roman" w:cs="Times New Roman" w:eastAsia="Times New Roman" w:hAnsi="Times New Roman"/>
          <w:sz w:val="20"/>
          <w:szCs w:val="20"/>
          <w:color w:val="auto"/>
        </w:rPr>
        <w:t>. The Administrative Agent shall have received a certificate, signed by a Financial Officer of the Borrower, dated as of the Effective Date (i) stating that no Default has occurred and is continuing as of such date, (ii) stating that the representations and warranties contained in the Loan Documents are true and correct as of such date, and (iii) certifying as to any other factual matters as may be reasonably requested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76" w:lineRule="exact"/>
        <w:rPr>
          <w:sz w:val="20"/>
          <w:szCs w:val="20"/>
          <w:color w:val="auto"/>
        </w:rPr>
      </w:pPr>
    </w:p>
    <w:p>
      <w:pPr>
        <w:jc w:val="both"/>
        <w:ind w:firstLine="656"/>
        <w:spacing w:after="0" w:line="222" w:lineRule="auto"/>
        <w:tabs>
          <w:tab w:leader="none" w:pos="1286"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Lenders and the Administrative Agent shall have received all fees required to be paid, and all expenses required to be reimbursed for which invoices have been presented (including the reasonable and documented fees and expenses of legal counsel), at least one Business Day before the Effective Date. All such amounts will be paid with proceeds of Loans made on the Effective Date and will be reflected in the funding instructions given by the Borrower to the Administrative Agent on or before the Effective Date.</w:t>
      </w:r>
    </w:p>
    <w:p>
      <w:pPr>
        <w:spacing w:after="0" w:line="161" w:lineRule="exact"/>
        <w:rPr>
          <w:rFonts w:ascii="Times New Roman" w:cs="Times New Roman" w:eastAsia="Times New Roman" w:hAnsi="Times New Roman"/>
          <w:sz w:val="20"/>
          <w:szCs w:val="20"/>
          <w:color w:val="010000"/>
        </w:rPr>
      </w:pPr>
    </w:p>
    <w:p>
      <w:pPr>
        <w:jc w:val="both"/>
        <w:ind w:firstLine="656"/>
        <w:spacing w:after="0" w:line="217" w:lineRule="auto"/>
        <w:tabs>
          <w:tab w:leader="none" w:pos="1291"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Lien and IP Searches</w:t>
      </w:r>
      <w:r>
        <w:rPr>
          <w:rFonts w:ascii="Times New Roman" w:cs="Times New Roman" w:eastAsia="Times New Roman" w:hAnsi="Times New Roman"/>
          <w:sz w:val="20"/>
          <w:szCs w:val="20"/>
          <w:color w:val="auto"/>
        </w:rPr>
        <w:t>. The Administrative Agent shall have received the results of a recent lien search in the jurisdiction of organization of each Loan Party and each jurisdiction where assets of the Loan Parties are located, and the results of search reports in respect of the intellectual property of the Loan Parties, and such searches shall reveal no Liens on any of the assets of the Loan Parties except for liens permitted by Section 6.02 or discharged on or prior to the Effective Date pursuant to a pay-off letter or other documentation satisfactory to the Administrative Agent.</w:t>
      </w:r>
    </w:p>
    <w:p>
      <w:pPr>
        <w:spacing w:after="0" w:line="161"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284"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Pay-Off and Release Letter</w:t>
      </w:r>
      <w:r>
        <w:rPr>
          <w:rFonts w:ascii="Times New Roman" w:cs="Times New Roman" w:eastAsia="Times New Roman" w:hAnsi="Times New Roman"/>
          <w:sz w:val="20"/>
          <w:szCs w:val="20"/>
          <w:color w:val="auto"/>
        </w:rPr>
        <w:t>. The Administrative Agent shall have received satisfactory pay-off and release letters for all existing Indebtedness required to be repaid (including, without limitation, the credit facility evidenced by that certain Credit Agreement, dated as of August 4, 2022, among the Borrower, the other loan parties party thereto, the lenders party thereto and JPMorgan Chase Bank, N.A., as administrative agent thereunder (as amended prior to the Effective Date) and which confirms that all Liens securing such Indebtedness and all Guarantees in respect thereof will be terminated and released concurrently with such payment and all letters of credit issued or guaranteed as part of such Indebtedness shall have been cash collateralized or supported by a Letter of Credit.</w:t>
      </w:r>
    </w:p>
    <w:p>
      <w:pPr>
        <w:spacing w:after="0" w:line="162"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284"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The Administrative Agent shall have received a notice (which notice shall be in the form of a Borrowing Request or such other form or method as approved by the Administrative Agent) setting forth the deposit account of the Borrower (as may be updated from time to time by written notice from the Borrower to the Administrative Agent, the “</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to which the Administrative Agent is authorized by the Borrower to transfer the proceeds of any Borrowings requested or authorized pursuant to this Agreement and which, in the case of a Borrowing Request, shall be delivered in accordance with Section 2.03, together with a customary funding indemnification letter to the extent any such Loan will be a Term Benchmark Loan.</w:t>
      </w:r>
    </w:p>
    <w:p>
      <w:pPr>
        <w:spacing w:after="0" w:line="142"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Reserved</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w:t>
      </w:r>
    </w:p>
    <w:p>
      <w:pPr>
        <w:spacing w:after="0" w:line="191" w:lineRule="exact"/>
        <w:rPr>
          <w:rFonts w:ascii="Times New Roman" w:cs="Times New Roman" w:eastAsia="Times New Roman" w:hAnsi="Times New Roman"/>
          <w:sz w:val="20"/>
          <w:szCs w:val="20"/>
          <w:color w:val="010000"/>
        </w:rPr>
      </w:pPr>
    </w:p>
    <w:p>
      <w:pPr>
        <w:ind w:firstLine="656"/>
        <w:spacing w:after="0"/>
        <w:tabs>
          <w:tab w:leader="none" w:pos="1294"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The Administrative Agent shall have received a solvency certificate signed by a Financial Officer dated the Effective Date in form and substance reasonably satisfactory to the Administrative Agent.</w:t>
      </w:r>
    </w:p>
    <w:p>
      <w:pPr>
        <w:spacing w:after="0" w:line="161"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284"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Pledged Equity Interests; Stock Powers; Pledged Notes</w:t>
      </w:r>
      <w:r>
        <w:rPr>
          <w:rFonts w:ascii="Times New Roman" w:cs="Times New Roman" w:eastAsia="Times New Roman" w:hAnsi="Times New Roman"/>
          <w:sz w:val="20"/>
          <w:szCs w:val="20"/>
          <w:color w:val="auto"/>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and other instrument or possessory collateral (if any) pledged to the Administrative Agent pursuant to the Security Agreement, endorsed (without recourse) in blank (or accompanied by an executed transfer form in blank) by the pledgor thereof or accompanied by allonges or other acknowledgements signed in blank, as applicable.</w:t>
      </w:r>
    </w:p>
    <w:p>
      <w:pPr>
        <w:spacing w:after="0" w:line="162"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294"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Filings, Registrations and Recordings</w:t>
      </w:r>
      <w:r>
        <w:rPr>
          <w:rFonts w:ascii="Times New Roman" w:cs="Times New Roman" w:eastAsia="Times New Roman" w:hAnsi="Times New Roman"/>
          <w:sz w:val="20"/>
          <w:szCs w:val="20"/>
          <w:color w:val="auto"/>
        </w:rPr>
        <w:t>. Each document (including any UCC financing statements and federal intellectual property filings)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6.02 to the extent any such Permitted Encumbrances would have priority over the Liens in favor of the Administrative Agent pursuant to any applicable law), shall be in proper form for filing, registration or recordation.</w:t>
      </w:r>
    </w:p>
    <w:p>
      <w:pPr>
        <w:spacing w:after="0" w:line="142"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Reserved</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56"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Reserved</w:t>
      </w:r>
      <w:r>
        <w:rPr>
          <w:rFonts w:ascii="Times New Roman" w:cs="Times New Roman" w:eastAsia="Times New Roman" w:hAnsi="Times New Roman"/>
          <w:sz w:val="25"/>
          <w:szCs w:val="25"/>
          <w:b w:val="1"/>
          <w:bCs w:val="1"/>
          <w:u w:val="single" w:color="auto"/>
          <w:color w:val="auto"/>
        </w:rPr>
        <w:t>]</w:t>
      </w:r>
    </w:p>
    <w:p>
      <w:pPr>
        <w:spacing w:after="0" w:line="204"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84"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Administrative Agent shall have received evidence of insurance coverage in form, scope, and substance reasonably satisfactory to the Administrative Agent and otherwise in compliance with the terms of Section 5.10 of this Agreement and the Security Agreement.</w:t>
      </w:r>
    </w:p>
    <w:p>
      <w:pPr>
        <w:spacing w:after="0" w:line="160" w:lineRule="exact"/>
        <w:rPr>
          <w:rFonts w:ascii="Times New Roman" w:cs="Times New Roman" w:eastAsia="Times New Roman" w:hAnsi="Times New Roman"/>
          <w:sz w:val="20"/>
          <w:szCs w:val="20"/>
          <w:color w:val="010000"/>
        </w:rPr>
      </w:pPr>
    </w:p>
    <w:p>
      <w:pPr>
        <w:ind w:firstLine="656"/>
        <w:spacing w:after="0" w:line="233" w:lineRule="auto"/>
        <w:tabs>
          <w:tab w:leader="none" w:pos="1284"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Due Diligence</w:t>
      </w:r>
      <w:r>
        <w:rPr>
          <w:rFonts w:ascii="Times New Roman" w:cs="Times New Roman" w:eastAsia="Times New Roman" w:hAnsi="Times New Roman"/>
          <w:sz w:val="20"/>
          <w:szCs w:val="20"/>
          <w:color w:val="auto"/>
        </w:rPr>
        <w:t>. The Administrative Agent and its counsel shall have completed all legal due diligence, the results of which shall be satisfactory to Administrative Agent in its sole discretion.</w:t>
      </w:r>
    </w:p>
    <w:p>
      <w:pPr>
        <w:spacing w:after="0" w:line="160"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284"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USA PATRIOT Act, Etc.</w:t>
      </w:r>
      <w:r>
        <w:rPr>
          <w:rFonts w:ascii="Times New Roman" w:cs="Times New Roman" w:eastAsia="Times New Roman" w:hAnsi="Times New Roman"/>
          <w:sz w:val="20"/>
          <w:szCs w:val="20"/>
          <w:color w:val="auto"/>
        </w:rPr>
        <w:t xml:space="preserve"> At least five (5) days prior to the Effective Date, (i) the Administrative Agent and Lenders shall have received (x) all documentation and other information regarding the Loan Parties requested in connection with applicable “know your customer” and anti-money laundering rules and regulations, including the USA PATRIOT Act, to the extent requested in writing of the Borrower at least ten (10) days prior to the Effective Date and (y) a properly completed and signed IRS Form W-8 or W-9, as applicable, for each Loan Party and (ii) to the extent the Borrower qualifies as a “legal entity customer” under the Beneficial Ownership Regulation, any Lender that has requested, in a written notice to the Borrower at least ten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47"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291"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Other Documents</w:t>
      </w:r>
      <w:r>
        <w:rPr>
          <w:rFonts w:ascii="Times New Roman" w:cs="Times New Roman" w:eastAsia="Times New Roman" w:hAnsi="Times New Roman"/>
          <w:sz w:val="20"/>
          <w:szCs w:val="20"/>
          <w:color w:val="auto"/>
        </w:rPr>
        <w:t>. The Administrative Agent shall have received such other documents as the Administrative Agent, the Issuing Bank, any Lender or their respective counsel may have reasonably requested (including, without limitation, a properly completed letter of credit application (whether standalone or pursuant to a master agreement, as applicable) if the issuance of a Letter of Credit will be required on the Effective Date, together with an executed copy of the Issuing Bank’s master agreement for the issuance of commercial Letters of Credit).</w:t>
      </w:r>
    </w:p>
    <w:p>
      <w:pPr>
        <w:spacing w:after="0" w:line="16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Administrative Agent shall notify the Loan Parties, the Lenders and the Issuing Bank of the Effective Date, and such notice shall be conclusive and binding.</w:t>
      </w:r>
    </w:p>
    <w:p>
      <w:pPr>
        <w:spacing w:after="0" w:line="146"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Each Credit Event</w:t>
      </w:r>
      <w:r>
        <w:rPr>
          <w:rFonts w:ascii="Times New Roman" w:cs="Times New Roman" w:eastAsia="Times New Roman" w:hAnsi="Times New Roman"/>
          <w:sz w:val="20"/>
          <w:szCs w:val="20"/>
          <w:color w:val="auto"/>
        </w:rPr>
        <w:t>. The obligation of each Lender to make a Loan on the occasion of any Borrowing, and of the Issuing Bank to issue, amend or extend any Letter of Credit, is subject to the satisfaction of the following conditions:</w:t>
      </w:r>
    </w:p>
    <w:p>
      <w:pPr>
        <w:spacing w:after="0" w:line="1" w:lineRule="exact"/>
        <w:rPr>
          <w:sz w:val="20"/>
          <w:szCs w:val="20"/>
          <w:color w:val="auto"/>
        </w:rPr>
      </w:pPr>
    </w:p>
    <w:p>
      <w:pPr>
        <w:jc w:val="both"/>
        <w:ind w:firstLine="656"/>
        <w:spacing w:after="0" w:line="212" w:lineRule="auto"/>
        <w:tabs>
          <w:tab w:leader="none" w:pos="1286"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of the Loan Parties set forth in the Loan Documents shall be true and correct in all material respects (or in all respects in the case of any representation and warranty qualified by materiality or Material Adverse Effect) with the same effect as though made on and as of the date of such Borrowing or the date of issuance, amendment or extension of such Letter of Credit, as applicable (it being understood and agreed that any representation or warranty which by its terms is made as of a specified date shall be required to be true and correct in all material respects (or in all respects in the case of any representation and warranty qualified by materiality or Material Adverse Effect) only as of such specified date).</w:t>
      </w:r>
    </w:p>
    <w:p>
      <w:pPr>
        <w:spacing w:after="0" w:line="163" w:lineRule="exact"/>
        <w:rPr>
          <w:rFonts w:ascii="Times New Roman" w:cs="Times New Roman" w:eastAsia="Times New Roman" w:hAnsi="Times New Roman"/>
          <w:sz w:val="20"/>
          <w:szCs w:val="20"/>
          <w:color w:val="010000"/>
        </w:rPr>
      </w:pPr>
    </w:p>
    <w:p>
      <w:pPr>
        <w:ind w:firstLine="656"/>
        <w:spacing w:after="0"/>
        <w:tabs>
          <w:tab w:leader="none" w:pos="1284"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 the time of and immediately after giving effect to such Borrowing or the issuance, amendment or extension of such Letter of Credit, as applicable, no Default or Event of Default shall have occurred and be continuing.</w:t>
      </w:r>
    </w:p>
    <w:p>
      <w:pPr>
        <w:spacing w:after="0" w:line="16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Each Borrowing and each issuance, amendment or extension of a Letter of Credit shall be deemed to constitute a representation and warranty by the Borrower on the date thereof as to the matters specified in paragraphs (a) and (b) of this Section.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the failure to satisfy the conditions precedent set forth in paragraphs (a) or (b) of this Section, unless otherwise directed by the Required Lenders, the Administrative Agent may, but shall have no obligation to, continue to make Loans and an Issuing Bank may, but shall have no obligation to, issue, amend or extend, or cause to be issued, amended or extended, any Letter of Credit for the ratable account and risk of Lenders from time to time if the Administrative Agent believes that making such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issuing, amending or extending, or causing the issuance, amendment or extension of, any such Letter of Credit is in the best interests of the Lenders.</w:t>
      </w:r>
    </w:p>
    <w:p>
      <w:pPr>
        <w:spacing w:after="0" w:line="26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color w:val="010000"/>
        </w:rPr>
        <w:t>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10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Until all of the Secured Obligations shall have been Paid in Full, each Loan Party executing this Agreement covenants and agrees, jointly and severally with all of the other Loan Parties, with the Lenders that:</w:t>
      </w:r>
    </w:p>
    <w:p>
      <w:pPr>
        <w:spacing w:after="0" w:line="127" w:lineRule="exact"/>
        <w:rPr>
          <w:sz w:val="20"/>
          <w:szCs w:val="20"/>
          <w:color w:val="auto"/>
        </w:rPr>
      </w:pPr>
    </w:p>
    <w:p>
      <w:pPr>
        <w:jc w:val="center"/>
        <w:ind w:right="-59"/>
        <w:spacing w:after="0"/>
        <w:tabs>
          <w:tab w:leader="none" w:pos="3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Financial Statements and Other Information</w:t>
      </w:r>
      <w:r>
        <w:rPr>
          <w:rFonts w:ascii="Times New Roman" w:cs="Times New Roman" w:eastAsia="Times New Roman" w:hAnsi="Times New Roman"/>
          <w:sz w:val="19"/>
          <w:szCs w:val="19"/>
          <w:color w:val="auto"/>
        </w:rPr>
        <w:t>. The Borrower will furnish to the Administrative Agent and each Lender:</w:t>
      </w:r>
    </w:p>
    <w:p>
      <w:pPr>
        <w:jc w:val="both"/>
        <w:ind w:firstLine="656"/>
        <w:spacing w:after="0" w:line="210" w:lineRule="auto"/>
        <w:tabs>
          <w:tab w:leader="none" w:pos="1286" w:val="left"/>
        </w:tabs>
        <w:numPr>
          <w:ilvl w:val="1"/>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ninety (90) days after the end of each fiscal year of the Borrower (or, if earlier, by the date that the Annual Report on Form 10-K of the Borrower for such fiscal year would be required to be filed under the rules and regulations of the SEC, giving effect to any automatic extension available thereunder for the filing of such form) (commencing with the fiscal year ending December 31, 2026),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164"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84" w:val="left"/>
        </w:tabs>
        <w:numPr>
          <w:ilvl w:val="1"/>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forty-five (45) days after the end of each of the first three fiscal quarters of each fiscal year of the Borrower (or, if earlier, by the date that the Quarterly Report on Form 10-Q of the Borrower for such fiscal quarter would be required to be filed under the rules and regulations of the SEC, giving effect to any automatic extension available thereunder for the filing of such form) (commencing with the fiscal quarter ending September 30, 2026),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61" w:lineRule="exact"/>
        <w:rPr>
          <w:rFonts w:ascii="Times New Roman" w:cs="Times New Roman" w:eastAsia="Times New Roman" w:hAnsi="Times New Roman"/>
          <w:sz w:val="20"/>
          <w:szCs w:val="20"/>
          <w:color w:val="010000"/>
        </w:rPr>
      </w:pPr>
    </w:p>
    <w:p>
      <w:pPr>
        <w:jc w:val="both"/>
        <w:ind w:firstLine="656"/>
        <w:spacing w:after="0" w:line="221" w:lineRule="auto"/>
        <w:tabs>
          <w:tab w:leader="none" w:pos="1286" w:val="left"/>
        </w:tabs>
        <w:numPr>
          <w:ilvl w:val="1"/>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concurrently with any delivery of financial statements under clause (a) or (b) above (commencing with the fiscal quarter ending September 30, 2026) (collectively or individually, as the context requires, the “</w:t>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a Compliance Certificate (i) certifying, in the case of the Financial Statements delivered under clause (a) or (b) above,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w:t>
      </w:r>
    </w:p>
    <w:p>
      <w:pPr>
        <w:spacing w:after="0" w:line="2" w:lineRule="exact"/>
        <w:rPr>
          <w:rFonts w:ascii="Times New Roman" w:cs="Times New Roman" w:eastAsia="Times New Roman" w:hAnsi="Times New Roman"/>
          <w:sz w:val="19"/>
          <w:szCs w:val="19"/>
          <w:color w:val="010000"/>
        </w:rPr>
      </w:pPr>
    </w:p>
    <w:p>
      <w:pPr>
        <w:jc w:val="both"/>
        <w:ind w:firstLine="8"/>
        <w:spacing w:after="0" w:line="218" w:lineRule="auto"/>
        <w:tabs>
          <w:tab w:leader="none" w:pos="35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setting forth reasonably detailed calculations demonstrating compliance with Section 6.12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4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reserved</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w:t>
      </w:r>
    </w:p>
    <w:p>
      <w:pPr>
        <w:spacing w:after="0" w:line="191"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286" w:val="left"/>
        </w:tabs>
        <w:numPr>
          <w:ilvl w:val="1"/>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later than sixty (60) days after the end of, and no earlier than thirty (30) days prior to the end of, each fiscal year of the Borrower, a copy of the plan and forecast (including a projected consolidated balance sheet, income statement and cash flow statement) of the Borrower for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upcoming fiscal year (the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in form reasonably satisfactory to the Administrative Agent;</w:t>
      </w:r>
    </w:p>
    <w:p>
      <w:pPr>
        <w:spacing w:after="0" w:line="189" w:lineRule="exact"/>
        <w:rPr>
          <w:sz w:val="20"/>
          <w:szCs w:val="20"/>
          <w:color w:val="auto"/>
        </w:rPr>
      </w:pPr>
    </w:p>
    <w:p>
      <w:pPr>
        <w:jc w:val="both"/>
        <w:ind w:firstLine="656"/>
        <w:spacing w:after="0" w:line="217" w:lineRule="auto"/>
        <w:tabs>
          <w:tab w:leader="none" w:pos="1291"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following any request therefor, (x) such other information regarding the operations, changes in ownership of Equity Interests, business affairs and financial condition of any Loan Party or any Subsidiary, or compliance with the terms of this Agreement, as the Administrative Agent or any Lender (through the Administrative Agent) may reasonably request and (y)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161"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1"/>
          <w:numId w:val="9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promptly after any request therefor by the Administrative Agent or any Lender (through the Administrative Agent), copies of</w:t>
      </w:r>
    </w:p>
    <w:p>
      <w:pPr>
        <w:spacing w:after="0" w:line="6" w:lineRule="exact"/>
        <w:rPr>
          <w:rFonts w:ascii="Times New Roman" w:cs="Times New Roman" w:eastAsia="Times New Roman" w:hAnsi="Times New Roman"/>
          <w:sz w:val="19"/>
          <w:szCs w:val="19"/>
          <w:color w:val="010000"/>
        </w:rPr>
      </w:pPr>
    </w:p>
    <w:p>
      <w:pPr>
        <w:jc w:val="both"/>
        <w:ind w:firstLine="8"/>
        <w:spacing w:after="0" w:line="212" w:lineRule="auto"/>
        <w:tabs>
          <w:tab w:leader="none" w:pos="26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described in Section 101(k)(1) of ERISA that the Borrower or any ERISA Affiliate may request with respect to any Multiemployer Plan and (ii) any notices described in Section 101(l)(1) of ERISA that the Borrower or any ERISA Affiliate may request with respect to any Multiemployer Plan; provided that if the Borrower or any ERISA Affiliate has not requested such documents or notices from the administrator or sponsor of the applicable Multiemployer Plan, the Borrower or the applicable ERISA Affiliate shall promptly make a request for such documents and notices from such administrator or sponsor and shall provide copies of such documents and notices promptly after receipt thereof; and</w:t>
      </w:r>
    </w:p>
    <w:p>
      <w:pPr>
        <w:spacing w:after="0" w:line="163"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filed by any Loan Party or any Subsidiary with the SEC, or any Governmental Authority succeeding to any or all of the functions of the SEC, or with any national securities exchange, or distributed by the Borrower to its shareholders generally, as the case may be.</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clauses (a), (b) or (h) of this Section 5.01 (to the extent any such documents are included in materials otherwise filed with the SEC) may be delivered electronically and if so delivered, shall be deemed to have been delivered on the date (i) on which such materials are publicly available as posted on EDGAR or (ii) on which such documents are posted on the Borrower’s behalf on an Internet or intranet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and (B) the Borrower shall notify the Administrative Agent and each Lender (by facsimile or through Electronic System) of the posting of any such documents and provide to the Administrative Agent through Electronic System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spacing w:after="0" w:line="166"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Notices of Material Events</w:t>
      </w:r>
      <w:r>
        <w:rPr>
          <w:rFonts w:ascii="Times New Roman" w:cs="Times New Roman" w:eastAsia="Times New Roman" w:hAnsi="Times New Roman"/>
          <w:sz w:val="20"/>
          <w:szCs w:val="20"/>
          <w:color w:val="auto"/>
        </w:rPr>
        <w:t>. The Borrower will furnish to the Administrative Agent and each Lender prompt (but in any event within any time period that may be specified below) written notice of the following:</w:t>
      </w:r>
    </w:p>
    <w:p>
      <w:pPr>
        <w:spacing w:after="0" w:line="2"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occurrence of any Default or Event of Default;</w:t>
      </w:r>
    </w:p>
    <w:p>
      <w:pPr>
        <w:spacing w:after="0" w:line="153"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284"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receipt of any notice of any investigation by a Governmental Authority or any Proceeding commenced or threatened against any Loan Party or any Subsidiary that (i) seeks damages in excess of $25,000,000, (ii) seeks injunctive relief that could reasonably be expected to be granted and, if granted, could reasonably be expected to result in a Material Adverse Effect, (iii) is asserted or instituted against any Plan, its fiduciaries or its assets, (iv) alleges criminal misconduct by any Loan Party or any Subsidiary, (v) alleges any material violation of, or seeks to impose remedies under, any Environmental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 or related Requirement of Law, or seeks to impose any material Environmental Liability, (vi) asserts liability on the part of any Loan</w:t>
      </w:r>
    </w:p>
    <w:p>
      <w:pPr>
        <w:spacing w:after="0" w:line="221" w:lineRule="auto"/>
        <w:rPr>
          <w:sz w:val="20"/>
          <w:szCs w:val="20"/>
          <w:color w:val="auto"/>
        </w:rPr>
      </w:pPr>
      <w:r>
        <w:rPr>
          <w:rFonts w:ascii="Times New Roman" w:cs="Times New Roman" w:eastAsia="Times New Roman" w:hAnsi="Times New Roman"/>
          <w:sz w:val="20"/>
          <w:szCs w:val="20"/>
          <w:color w:val="auto"/>
        </w:rPr>
        <w:t>Party or any Subsidiary in excess of $10,000,000 in respect of any tax (other than taxes that are not past due and are payable in the ordinary course of business), fee, assessment, or other governmental charge, or (vii) involves any product recall;</w:t>
      </w:r>
    </w:p>
    <w:p>
      <w:pPr>
        <w:spacing w:after="0" w:line="162"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material change in accounting or financial reporting practices by the Borrower or any Subsidiary;</w:t>
      </w:r>
    </w:p>
    <w:p>
      <w:pPr>
        <w:spacing w:after="0" w:line="188" w:lineRule="exact"/>
        <w:rPr>
          <w:rFonts w:ascii="Times New Roman" w:cs="Times New Roman" w:eastAsia="Times New Roman" w:hAnsi="Times New Roman"/>
          <w:sz w:val="20"/>
          <w:szCs w:val="20"/>
          <w:color w:val="010000"/>
        </w:rPr>
      </w:pPr>
    </w:p>
    <w:p>
      <w:pPr>
        <w:ind w:firstLine="656"/>
        <w:spacing w:after="0" w:line="233" w:lineRule="auto"/>
        <w:tabs>
          <w:tab w:leader="none" w:pos="1284"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occurrence of any ERISA Event that, alone or together with any other ERISA Events that have occurred, could reasonably be expected to result in liability of the Borrower and its Subsidiaries in an aggregate amount exceeding $10,000,000;</w:t>
      </w:r>
    </w:p>
    <w:p>
      <w:pPr>
        <w:spacing w:after="0" w:line="141"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reserved</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other development that results in, or could reasonably be expected to result in, a Material Adverse Effect; and</w:t>
      </w:r>
    </w:p>
    <w:p>
      <w:pPr>
        <w:spacing w:after="0" w:line="175" w:lineRule="exact"/>
        <w:rPr>
          <w:rFonts w:ascii="Times New Roman" w:cs="Times New Roman" w:eastAsia="Times New Roman" w:hAnsi="Times New Roman"/>
          <w:sz w:val="20"/>
          <w:szCs w:val="20"/>
          <w:color w:val="010000"/>
        </w:rPr>
      </w:pPr>
    </w:p>
    <w:p>
      <w:pPr>
        <w:ind w:firstLine="656"/>
        <w:spacing w:after="0"/>
        <w:tabs>
          <w:tab w:leader="none" w:pos="1284"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change in the information provided in the Beneficial Ownership Certification delivered to such Lender that would result in a change to the list of beneficial owners identified in such certification.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Each notice delivered under this Section (i) shall be in writing, (ii) shall contain a heading or a reference line that reads “Notice under Section 5.02 of “Cricut, Inc. Credit Agreement, dated as of October 22, 2026” and (iii)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u w:val="single" w:color="auto"/>
          <w:color w:val="auto"/>
        </w:rPr>
        <w:t>Existence; Conduct of Business</w:t>
      </w:r>
      <w:r>
        <w:rPr>
          <w:rFonts w:ascii="Times New Roman" w:cs="Times New Roman" w:eastAsia="Times New Roman" w:hAnsi="Times New Roman"/>
          <w:sz w:val="20"/>
          <w:szCs w:val="20"/>
          <w:color w:val="auto"/>
        </w:rPr>
        <w:t>. Each Loan Party will, and will cause each Subsidiary to, (a) do or cause to be done all</w:t>
      </w:r>
    </w:p>
    <w:p>
      <w:pPr>
        <w:jc w:val="both"/>
        <w:spacing w:after="0" w:line="204" w:lineRule="auto"/>
        <w:rPr>
          <w:sz w:val="20"/>
          <w:szCs w:val="20"/>
          <w:color w:val="auto"/>
        </w:rPr>
      </w:pPr>
      <w:r>
        <w:rPr>
          <w:rFonts w:ascii="Times New Roman" w:cs="Times New Roman" w:eastAsia="Times New Roman" w:hAnsi="Times New Roman"/>
          <w:sz w:val="20"/>
          <w:szCs w:val="20"/>
          <w:color w:val="auto"/>
        </w:rPr>
        <w:t>things necessary to preserve, renew and keep in full force and effect its legal existence and the rights, qualifications, licenses, permits, privileges, franchises, governmental authorizations, intellectual property rights, licenses and permits material to the conduct of its business,</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and maintain all requisite authority to conduct its business in each jurisdiction in which its business is conducted;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w:t>
      </w:r>
    </w:p>
    <w:p>
      <w:pPr>
        <w:jc w:val="both"/>
        <w:spacing w:after="0" w:line="204" w:lineRule="auto"/>
        <w:rPr>
          <w:sz w:val="20"/>
          <w:szCs w:val="20"/>
          <w:color w:val="auto"/>
        </w:rPr>
      </w:pPr>
      <w:r>
        <w:rPr>
          <w:rFonts w:ascii="Times New Roman" w:cs="Times New Roman" w:eastAsia="Times New Roman" w:hAnsi="Times New Roman"/>
          <w:sz w:val="20"/>
          <w:szCs w:val="20"/>
          <w:color w:val="auto"/>
        </w:rPr>
        <w:t>shall not prohibit any merger, consolidation, liquidation or dissolution permitted under Section 6.03 and (b) carry on and conduct its business in substantially the same manner and in substantially the same fields of enterprise as it is presently conducted.</w:t>
      </w:r>
    </w:p>
    <w:p>
      <w:pPr>
        <w:ind w:left="660"/>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u w:val="single" w:color="auto"/>
          <w:color w:val="auto"/>
        </w:rPr>
        <w:t>Payment of Obligations</w:t>
      </w:r>
      <w:r>
        <w:rPr>
          <w:rFonts w:ascii="Times New Roman" w:cs="Times New Roman" w:eastAsia="Times New Roman" w:hAnsi="Times New Roman"/>
          <w:sz w:val="19"/>
          <w:szCs w:val="19"/>
          <w:color w:val="auto"/>
        </w:rPr>
        <w:t>. Each Loan Party will, and will cause each Subsidiary to, pay or discharge all Material Indebtedness</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and all other material liabilities and obligations, including Taxes, before the same shall become delinquent or in default, except where (a) the validity or amount thereof is being contested in good faith by appropriate proceedings, (b) such Loan Party or Subsidiary has set aside on its</w:t>
      </w:r>
    </w:p>
    <w:p>
      <w:pPr>
        <w:spacing w:after="0" w:line="211" w:lineRule="auto"/>
        <w:rPr>
          <w:sz w:val="20"/>
          <w:szCs w:val="20"/>
          <w:color w:val="auto"/>
        </w:rPr>
      </w:pPr>
      <w:r>
        <w:rPr>
          <w:rFonts w:ascii="Times New Roman" w:cs="Times New Roman" w:eastAsia="Times New Roman" w:hAnsi="Times New Roman"/>
          <w:sz w:val="20"/>
          <w:szCs w:val="20"/>
          <w:color w:val="auto"/>
        </w:rPr>
        <w:t>books adequate reserves with respect thereto in accordance with GAAP and (c) the failure to make payment pending such contest could not</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reasonably be expected to result in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each Loan Party will, and will cause each Subsidiary to, remit withholding taxes and other payroll taxes to appropriate Governmental Authorities as and when claimed to be due, notwithstanding</w:t>
      </w:r>
    </w:p>
    <w:p>
      <w:pPr>
        <w:spacing w:after="0" w:line="197" w:lineRule="auto"/>
        <w:rPr>
          <w:sz w:val="20"/>
          <w:szCs w:val="20"/>
          <w:color w:val="auto"/>
        </w:rPr>
      </w:pPr>
      <w:r>
        <w:rPr>
          <w:rFonts w:ascii="Times New Roman" w:cs="Times New Roman" w:eastAsia="Times New Roman" w:hAnsi="Times New Roman"/>
          <w:sz w:val="20"/>
          <w:szCs w:val="20"/>
          <w:color w:val="auto"/>
        </w:rPr>
        <w:t>the foregoing exceptions.</w:t>
      </w:r>
    </w:p>
    <w:p>
      <w:pPr>
        <w:spacing w:after="0" w:line="1"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Each Loan Party will, and will cause each Subsidiary to, keep and maintain all property material to the conduct of its business in good working order and condition, ordinary wear and tear excepted.</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Books and Records; Inspection Rights</w:t>
      </w:r>
      <w:r>
        <w:rPr>
          <w:rFonts w:ascii="Times New Roman" w:cs="Times New Roman" w:eastAsia="Times New Roman" w:hAnsi="Times New Roman"/>
          <w:sz w:val="20"/>
          <w:szCs w:val="20"/>
          <w:color w:val="auto"/>
        </w:rPr>
        <w:t>. Each Loan Party will, and will cause each Subsidiary to, (a) keep proper books of record and account in which full, true and correct entries are made of all dealings and transactions in relation to its business and activities and</w:t>
      </w:r>
    </w:p>
    <w:p>
      <w:pPr>
        <w:spacing w:after="0" w:line="1" w:lineRule="exact"/>
        <w:rPr>
          <w:sz w:val="20"/>
          <w:szCs w:val="20"/>
          <w:color w:val="auto"/>
        </w:rPr>
      </w:pPr>
    </w:p>
    <w:p>
      <w:pPr>
        <w:jc w:val="both"/>
        <w:ind w:firstLine="8"/>
        <w:spacing w:after="0" w:line="212" w:lineRule="auto"/>
        <w:tabs>
          <w:tab w:leader="none" w:pos="28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any representatives designated by the Administrative Agent or any Lender (including employees of the Administrative Agent, any Lender or any consultants, accountants, lawyers, agents and appraisers retained by the Administrative Agent), upon reasonable prior notice during normal business hours (or at any time if an Event of Default has occurred and is continuing), to visit and inspect its properties, conduct at the Loan Party’s premises field examinations of the Loan Party’s assets, liabilities, books and records, including examining and making extracts from its books and records, environmental assessment reports and Phase I or Phase II studies, and to discuss its affairs, finances and condition with its officers and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hereby authorizes the Administrative Agent and each Lender to contact its independent accountants directly) and to provide contact</w:t>
      </w:r>
    </w:p>
    <w:p>
      <w:pPr>
        <w:spacing w:after="0" w:line="215" w:lineRule="auto"/>
        <w:rPr>
          <w:sz w:val="20"/>
          <w:szCs w:val="20"/>
          <w:color w:val="auto"/>
        </w:rPr>
      </w:pPr>
      <w:r>
        <w:rPr>
          <w:rFonts w:ascii="Times New Roman" w:cs="Times New Roman" w:eastAsia="Times New Roman" w:hAnsi="Times New Roman"/>
          <w:sz w:val="19"/>
          <w:szCs w:val="19"/>
          <w:color w:val="auto"/>
        </w:rPr>
        <w:t>information for each bank where each Loan Party has a depository and/or securities account and each such Loan Party hereby authorizes the Administrative Agent and each Lender to contact the bank(s) in order to request bank statements and/or balances, all at such reasonable times</w:t>
      </w:r>
    </w:p>
    <w:p>
      <w:pPr>
        <w:spacing w:after="0" w:line="211" w:lineRule="auto"/>
        <w:rPr>
          <w:sz w:val="20"/>
          <w:szCs w:val="20"/>
          <w:color w:val="auto"/>
        </w:rPr>
      </w:pPr>
      <w:r>
        <w:rPr>
          <w:rFonts w:ascii="Times New Roman" w:cs="Times New Roman" w:eastAsia="Times New Roman" w:hAnsi="Times New Roman"/>
          <w:sz w:val="20"/>
          <w:szCs w:val="20"/>
          <w:color w:val="auto"/>
        </w:rPr>
        <w:t>and as often as reasonably requested. The Loan Parties acknowledge that the Administrative Agent, after exercising its rights of inspection,</w:t>
      </w:r>
    </w:p>
    <w:p>
      <w:pPr>
        <w:spacing w:after="0" w:line="215" w:lineRule="auto"/>
        <w:rPr>
          <w:sz w:val="20"/>
          <w:szCs w:val="20"/>
          <w:color w:val="auto"/>
        </w:rPr>
      </w:pPr>
      <w:r>
        <w:rPr>
          <w:rFonts w:ascii="Times New Roman" w:cs="Times New Roman" w:eastAsia="Times New Roman" w:hAnsi="Times New Roman"/>
          <w:sz w:val="19"/>
          <w:szCs w:val="19"/>
          <w:color w:val="auto"/>
        </w:rPr>
        <w:t>may prepare and distribute to the Lenders certain reports pertaining to the Loan Parties’ assets for internal use by the Administrative Agent and the Lenders. The Loan Parties shall be responsible for the costs and expenses of one (1) inspection during any 12-month period as well as</w:t>
      </w:r>
    </w:p>
    <w:p>
      <w:pPr>
        <w:spacing w:after="0" w:line="211" w:lineRule="auto"/>
        <w:rPr>
          <w:sz w:val="20"/>
          <w:szCs w:val="20"/>
          <w:color w:val="auto"/>
        </w:rPr>
      </w:pPr>
      <w:r>
        <w:rPr>
          <w:rFonts w:ascii="Times New Roman" w:cs="Times New Roman" w:eastAsia="Times New Roman" w:hAnsi="Times New Roman"/>
          <w:sz w:val="20"/>
          <w:szCs w:val="20"/>
          <w:color w:val="auto"/>
        </w:rPr>
        <w:t>the costs and expenses of all inspections conducted while an Event of Default has occurred and is continuing.</w:t>
      </w: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Compliance with Laws and Material Contractual Obligations.</w:t>
      </w:r>
      <w:r>
        <w:rPr>
          <w:rFonts w:ascii="Times New Roman" w:cs="Times New Roman" w:eastAsia="Times New Roman" w:hAnsi="Times New Roman"/>
          <w:sz w:val="20"/>
          <w:szCs w:val="20"/>
          <w:color w:val="auto"/>
        </w:rPr>
        <w:t xml:space="preserve"> Each Loan Party will, and will cause each Subsidiary to, (a) comply with each Requirement of Law applicable to it or its property (including without limitation Environmental Laws), except, in each</w:t>
      </w:r>
    </w:p>
    <w:p>
      <w:pPr>
        <w:spacing w:after="0" w:line="223" w:lineRule="auto"/>
        <w:rPr>
          <w:sz w:val="20"/>
          <w:szCs w:val="20"/>
          <w:color w:val="auto"/>
        </w:rPr>
      </w:pPr>
      <w:r>
        <w:rPr>
          <w:rFonts w:ascii="Times New Roman" w:cs="Times New Roman" w:eastAsia="Times New Roman" w:hAnsi="Times New Roman"/>
          <w:sz w:val="19"/>
          <w:szCs w:val="19"/>
          <w:color w:val="auto"/>
        </w:rPr>
        <w:t>case, where the failure to do so, individually or in the aggregate, could not reasonably be expected to result in a Material Adverse Effect, and</w:t>
      </w:r>
    </w:p>
    <w:p>
      <w:pPr>
        <w:jc w:val="both"/>
        <w:ind w:firstLine="8"/>
        <w:spacing w:after="0" w:line="206" w:lineRule="auto"/>
        <w:tabs>
          <w:tab w:leader="none" w:pos="293"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in all material respects its obligations under material agreements to which it is a party. Each Loan Party will maintain in effect and enforce policies and procedures designed to ensure compliance by such Loan Party, its Subsidiaries and their respective directors, officers, employees and agents with Anti-Corruption Laws and applicable Sanctions.</w:t>
      </w:r>
    </w:p>
    <w:p>
      <w:pPr>
        <w:ind w:left="660"/>
        <w:spacing w:after="0" w:line="209" w:lineRule="auto"/>
        <w:tabs>
          <w:tab w:leader="none" w:pos="128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w:t>
      </w:r>
    </w:p>
    <w:p>
      <w:pPr>
        <w:jc w:val="both"/>
        <w:ind w:firstLine="656"/>
        <w:spacing w:after="0" w:line="215" w:lineRule="auto"/>
        <w:tabs>
          <w:tab w:leader="none" w:pos="1286" w:val="left"/>
        </w:tabs>
        <w:numPr>
          <w:ilvl w:val="0"/>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proceeds of the Loans and the Letters of Credit will be used only for repaying in full certain existing Indebtedness of the Borrower on the Effective Date, and to finance the working capital needs and general corporate purposes of the Borrower and its Subsidiaries permitted hereunder (including, without limitation, Permitted Acquisitions and share repurchases permitted under Section 6.08). No part of the proceeds of any Loan and no Letter of Credit will be used, whether directly or indirectly, for any purpose that entails a violation of any of the regulations of the Federal Reserve Board, including Regulations T, U and X.</w:t>
      </w:r>
    </w:p>
    <w:p>
      <w:pPr>
        <w:spacing w:after="0" w:line="149" w:lineRule="exact"/>
        <w:rPr>
          <w:rFonts w:ascii="Times New Roman" w:cs="Times New Roman" w:eastAsia="Times New Roman" w:hAnsi="Times New Roman"/>
          <w:sz w:val="20"/>
          <w:szCs w:val="20"/>
          <w:color w:val="010000"/>
        </w:rPr>
      </w:pPr>
    </w:p>
    <w:p>
      <w:pPr>
        <w:jc w:val="both"/>
        <w:ind w:firstLine="656"/>
        <w:spacing w:after="0" w:line="218" w:lineRule="auto"/>
        <w:tabs>
          <w:tab w:leader="none" w:pos="1284" w:val="left"/>
        </w:tabs>
        <w:numPr>
          <w:ilvl w:val="0"/>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will not request any Borrowing or Letter of Credit, and the Borrower shall not use, and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15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5.9 </w:t>
      </w:r>
      <w:r>
        <w:rPr>
          <w:rFonts w:ascii="Times New Roman" w:cs="Times New Roman" w:eastAsia="Times New Roman" w:hAnsi="Times New Roman"/>
          <w:sz w:val="19"/>
          <w:szCs w:val="19"/>
          <w:u w:val="single" w:color="auto"/>
          <w:color w:val="auto"/>
        </w:rPr>
        <w:t>Accuracy of Information</w:t>
      </w:r>
      <w:r>
        <w:rPr>
          <w:rFonts w:ascii="Times New Roman" w:cs="Times New Roman" w:eastAsia="Times New Roman" w:hAnsi="Times New Roman"/>
          <w:sz w:val="19"/>
          <w:szCs w:val="19"/>
          <w:color w:val="auto"/>
        </w:rPr>
        <w:t>. The Loan Parties will ensure that any written information, including financial statements or other documents (other than projected financial information, other forward looking information and information of a general economic or industry-</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specific nature), furnished to the Administrative Agent or the Lenders by or on behalf of any Loan Party or any Subsidiary under this Agreement or any other Loan Document or any amendment or modification hereof or thereof or waiver hereunder or thereunder contains no</w:t>
      </w:r>
    </w:p>
    <w:p>
      <w:pPr>
        <w:spacing w:after="0" w:line="211" w:lineRule="auto"/>
        <w:rPr>
          <w:sz w:val="20"/>
          <w:szCs w:val="20"/>
          <w:color w:val="auto"/>
        </w:rPr>
      </w:pPr>
      <w:r>
        <w:rPr>
          <w:rFonts w:ascii="Times New Roman" w:cs="Times New Roman" w:eastAsia="Times New Roman" w:hAnsi="Times New Roman"/>
          <w:sz w:val="20"/>
          <w:szCs w:val="20"/>
          <w:color w:val="auto"/>
        </w:rPr>
        <w:t>material misstatement of fact or omits to state any material fact necessary to make the statements therein, in the light of the circumstances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under which they were made, not misleading, and the furnishing of such information shall be deemed to be a representation and warranty by the Borrower on the date thereof as to the matters specified in this Section 5.09; provided that, with respect to the Projections, the Loan</w:t>
      </w:r>
    </w:p>
    <w:p>
      <w:pPr>
        <w:spacing w:after="0" w:line="211" w:lineRule="auto"/>
        <w:rPr>
          <w:sz w:val="20"/>
          <w:szCs w:val="20"/>
          <w:color w:val="auto"/>
        </w:rPr>
      </w:pPr>
      <w:r>
        <w:rPr>
          <w:rFonts w:ascii="Times New Roman" w:cs="Times New Roman" w:eastAsia="Times New Roman" w:hAnsi="Times New Roman"/>
          <w:sz w:val="20"/>
          <w:szCs w:val="20"/>
          <w:color w:val="auto"/>
        </w:rPr>
        <w:t>Parties will cause the Projections to be prepared in good faith based upon assumptions believed to be reasonable at the time.</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Each Loan Party will, and will cause each Subsidiary to, maintain with financially sound and reputable carriers having a financial strength rating of at least A- by A.M. Best Company (a) insurance in such amounts (with no greater risk retention) and</w:t>
      </w:r>
    </w:p>
    <w:p>
      <w:pPr>
        <w:spacing w:after="0" w:line="211" w:lineRule="auto"/>
        <w:rPr>
          <w:sz w:val="20"/>
          <w:szCs w:val="20"/>
          <w:color w:val="auto"/>
        </w:rPr>
      </w:pPr>
      <w:r>
        <w:rPr>
          <w:rFonts w:ascii="Times New Roman" w:cs="Times New Roman" w:eastAsia="Times New Roman" w:hAnsi="Times New Roman"/>
          <w:sz w:val="20"/>
          <w:szCs w:val="20"/>
          <w:color w:val="auto"/>
        </w:rPr>
        <w:t>against such risks (including loss or damage by fire and loss in transit; theft, burglary, pilferage, larceny, embezzlement, and other criminal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activities; business interruption; and general liability) and such other hazards, as is customarily maintained by companies of established repute engaged in the same or similar businesses operating in the same or similar locations and (b) all insurance required pursuant to the</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Collateral Documents. The Borrower will furnish to the Lenders, upon request of the Administrative Agent, but no less frequently than annually, information in reasonable detail as to the insurance so maintained.</w:t>
      </w:r>
    </w:p>
    <w:p>
      <w:pPr>
        <w:spacing w:after="0" w:line="1" w:lineRule="exact"/>
        <w:rPr>
          <w:sz w:val="20"/>
          <w:szCs w:val="20"/>
          <w:color w:val="auto"/>
        </w:rPr>
      </w:pPr>
    </w:p>
    <w:p>
      <w:pPr>
        <w:ind w:firstLine="648"/>
        <w:spacing w:after="0" w:line="228"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Casualty and Condemnation</w:t>
      </w:r>
      <w:r>
        <w:rPr>
          <w:rFonts w:ascii="Times New Roman" w:cs="Times New Roman" w:eastAsia="Times New Roman" w:hAnsi="Times New Roman"/>
          <w:sz w:val="20"/>
          <w:szCs w:val="20"/>
          <w:color w:val="auto"/>
        </w:rPr>
        <w:t>. The Borrower will furnish to the Administrative Agent and the Lenders prompt written notice of any casualty or other insured damage to any material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7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Collateral or the commencement of any action or proceeding for the taking of any material portion of the Collateral or interest therein under power of eminent domain or by condemnation or similar proceeding.</w:t>
      </w:r>
    </w:p>
    <w:p>
      <w:pPr>
        <w:spacing w:after="0" w:line="1"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Depository Banks</w:t>
      </w:r>
      <w:r>
        <w:rPr>
          <w:rFonts w:ascii="Times New Roman" w:cs="Times New Roman" w:eastAsia="Times New Roman" w:hAnsi="Times New Roman"/>
          <w:sz w:val="20"/>
          <w:szCs w:val="20"/>
          <w:color w:val="auto"/>
        </w:rPr>
        <w:t>. The Borrower and each Subsidiary will, from and after the date that is 90 days after the Effective Date, maintain the Administrative Agent as (a) its principal bank for the maintenance of operating, administrative, cash management and collection activity accounts for the conduct of its business and (b) one of its principal banks for its deposit accounts.</w:t>
      </w:r>
    </w:p>
    <w:p>
      <w:pPr>
        <w:ind w:left="660"/>
        <w:spacing w:after="0" w:line="224" w:lineRule="auto"/>
        <w:tabs>
          <w:tab w:leader="none" w:pos="1280" w:val="left"/>
        </w:tabs>
        <w:rPr>
          <w:sz w:val="20"/>
          <w:szCs w:val="20"/>
          <w:color w:val="auto"/>
        </w:rPr>
      </w:pPr>
      <w:r>
        <w:rPr>
          <w:rFonts w:ascii="Times New Roman" w:cs="Times New Roman" w:eastAsia="Times New Roman" w:hAnsi="Times New Roman"/>
          <w:sz w:val="20"/>
          <w:szCs w:val="20"/>
          <w:color w:val="auto"/>
        </w:rPr>
        <w:t>5.13</w:t>
      </w:r>
      <w:r>
        <w:rPr>
          <w:sz w:val="20"/>
          <w:szCs w:val="20"/>
          <w:color w:val="auto"/>
        </w:rPr>
        <w:tab/>
      </w:r>
      <w:r>
        <w:rPr>
          <w:rFonts w:ascii="Times New Roman" w:cs="Times New Roman" w:eastAsia="Times New Roman" w:hAnsi="Times New Roman"/>
          <w:sz w:val="19"/>
          <w:szCs w:val="19"/>
          <w:u w:val="single" w:color="auto"/>
          <w:color w:val="auto"/>
        </w:rPr>
        <w:t>Subsidiary Guarantors; Additional Collateral; Further Assurances</w:t>
      </w:r>
      <w:r>
        <w:rPr>
          <w:rFonts w:ascii="Times New Roman" w:cs="Times New Roman" w:eastAsia="Times New Roman" w:hAnsi="Times New Roman"/>
          <w:sz w:val="19"/>
          <w:szCs w:val="19"/>
          <w:color w:val="auto"/>
        </w:rPr>
        <w:t>.</w:t>
      </w:r>
    </w:p>
    <w:p>
      <w:pPr>
        <w:jc w:val="both"/>
        <w:ind w:firstLine="656"/>
        <w:spacing w:after="0" w:line="209" w:lineRule="auto"/>
        <w:tabs>
          <w:tab w:leader="none" w:pos="1286" w:val="left"/>
        </w:tabs>
        <w:numPr>
          <w:ilvl w:val="1"/>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thirty (30) days (or such later date as may be agreed upon by the Administrative Agent) after any Person becomes a Subsidiary or any Subsidiary qualifies independently as, or is designated by the Borrower or the Administrative Agent as, a Material Subsidiary pursuant to the definition of “Material Subsidiary”, the Borrower shall (i) provide the Administrative Agent with written notice thereof setting forth information in reasonable detail describing the material assets of such Person and (ii) cause each such Subsidiary which also qualifies as a Material Subsidiary to execute and deliver to the Administrative Agent a Joinder Agreement and a joinder to the Security Agreement (in the form contemplated thereby) pursuant to which such Subsidiary agrees to be bound by the terms and provisions thereof (or, in the case of a Material Subsidiary that is a Foreign Subsidiary, appropriate Collateral Documents governed by the local law of the jurisdiction in which such Foreign Subsidiary is organized or formed), which shall be accompanied by appropriate organizational resolutions, other organizational documentation and legal opinions in form and substance reasonably satisfactory to the Administrative Agent and its counsel. In connection therewith, the Administrative Agent shall have received all documentation and other information regarding such newly formed or acquired Subsidiaries as may be required to comply with the applicable “know your customer” rules and regulations, including the USA PATRIOT Act. Each such Person delivering a Joinder Agreement (x) shall automatically become a Subsidiary Guarantor hereunder and thereupon shall have all of the rights, benefits, duties, and obligations in such capacity under the Loan Documents and (y) will grant Liens to the Administrative Agent, for the benefit of the Administrative Agent and the other Secured Parties, in any property of such Loan Party which constitutes Collateral, including any parcel of real property located in the U.S. owned by any Loan Party that does not constitute Excluded Property.</w:t>
      </w:r>
    </w:p>
    <w:p>
      <w:pPr>
        <w:spacing w:after="0" w:line="148" w:lineRule="exact"/>
        <w:rPr>
          <w:rFonts w:ascii="Times New Roman" w:cs="Times New Roman" w:eastAsia="Times New Roman" w:hAnsi="Times New Roman"/>
          <w:sz w:val="20"/>
          <w:szCs w:val="20"/>
          <w:color w:val="010000"/>
        </w:rPr>
      </w:pPr>
    </w:p>
    <w:p>
      <w:pPr>
        <w:jc w:val="both"/>
        <w:ind w:firstLine="656"/>
        <w:spacing w:after="0" w:line="224" w:lineRule="auto"/>
        <w:tabs>
          <w:tab w:leader="none" w:pos="1284" w:val="left"/>
        </w:tabs>
        <w:numPr>
          <w:ilvl w:val="1"/>
          <w:numId w:val="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Loan Party will cause, and will cause each other Loan Party to cause, all of its owned property (whether real, personal, tangible, intangible, or mixed), other than Excluded Property, to be subject at all times to first priority, perfected Liens in favor of the Administrative Agent for the benefit of the Secured Parties to secure the Secured Obligations in accordance with the terms and conditions of the Collateral Documents, subject in any case to Liens permitted by Section 6.02 to the extent any such Liens would have priority over the Liens in favor of the Administrative Agent pursuant to any applicable law. Without limiting the generality of the foregoing, each Loan Party</w:t>
      </w:r>
    </w:p>
    <w:p>
      <w:pPr>
        <w:spacing w:after="0" w:line="1" w:lineRule="exact"/>
        <w:rPr>
          <w:rFonts w:ascii="Times New Roman" w:cs="Times New Roman" w:eastAsia="Times New Roman" w:hAnsi="Times New Roman"/>
          <w:sz w:val="19"/>
          <w:szCs w:val="19"/>
          <w:color w:val="010000"/>
        </w:rPr>
      </w:pPr>
    </w:p>
    <w:p>
      <w:pPr>
        <w:jc w:val="both"/>
        <w:ind w:firstLine="8"/>
        <w:spacing w:after="0" w:line="210" w:lineRule="auto"/>
        <w:tabs>
          <w:tab w:leader="none" w:pos="25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cause 100% of the issued and outstanding Equity Interests of each of its Material Subsidiaries to be subject at all times to a first priority, perfected Lien in favor of the Administrative Agent for the benefit of the Administrative Agent and the other Secured Parties to secure the Secured Obligations in accordance with the terms and conditions of the Collateral Documents or other pledge or security documents as the Administrative Agent shall reasonably request (which in the case of a pledge of Equity Interests of a Material Subsidiary that is a Foreign Subsidiary, shall be governed by the local law of the jurisdiction in which such Foreign Subsidiary is organized or formed) and (ii) will deliver Mortgages and all related Mortgage Instruments and other deliveries requested by the Administrative Agent with respect to real property owned by such Loan Party (other than real property constituting Excluded Property) to the extent, and within such time period as is, reasonably required by the Administrative Agent.</w:t>
      </w:r>
    </w:p>
    <w:p>
      <w:pPr>
        <w:spacing w:after="0" w:line="163"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6" w:val="left"/>
        </w:tabs>
        <w:numPr>
          <w:ilvl w:val="1"/>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fixture filings, Mortgages, Mortgage Instruments, deeds of trust and other documents and such other actions or deliveries of the type required by Section 4.01,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76" w:lineRule="exact"/>
        <w:rPr>
          <w:sz w:val="20"/>
          <w:szCs w:val="20"/>
          <w:color w:val="auto"/>
        </w:rPr>
      </w:pPr>
    </w:p>
    <w:p>
      <w:pPr>
        <w:jc w:val="both"/>
        <w:ind w:firstLine="656"/>
        <w:spacing w:after="0" w:line="215" w:lineRule="auto"/>
        <w:tabs>
          <w:tab w:leader="none" w:pos="1284"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material assets (including any real property or improvements thereto or any interest therein), except Excluded Property, are acquired by any Loan Party after the Effective Date (other than assets constituting Collateral under the Security Agreement that become subject to the Lien under the Security Agreement upon acquisition thereof), the Borrower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such Liens, including actions described in paragraphs (b) and (c) of this Section, all at the expense of the Loan Parties.</w:t>
      </w:r>
    </w:p>
    <w:p>
      <w:pPr>
        <w:spacing w:after="0" w:line="164"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286"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in this Agreement or the other Loan Documents to the contrary, the Administrative Agent may (but shall not be obligated to) determine in its sole and reasonable discretion that the cost (or other consequence) to the Loan Parties of (i) granting and perfecting any Lien or (ii) requiring specific Collateral Documents to be governed by the local law of the jurisdiction in which a Foreign Subsidiary is organized or formed is excessive or disproportionate to the benefit to be realized by the Administrative Agent, the Lenders and the other Secured Parties thereby and, in such case, the Administrative Agent shall be permitted to, without the consent of the Lenders or Required Lenders, waive any requirement of granting or perfecting any such Lien or executing and delivering any such Collateral Documents governed by local law that is otherwise required under the Loan Documents.</w:t>
      </w:r>
    </w:p>
    <w:p>
      <w:pPr>
        <w:spacing w:after="0" w:line="15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5.14 </w:t>
      </w:r>
      <w:r>
        <w:rPr>
          <w:rFonts w:ascii="Times New Roman" w:cs="Times New Roman" w:eastAsia="Times New Roman" w:hAnsi="Times New Roman"/>
          <w:sz w:val="20"/>
          <w:szCs w:val="20"/>
          <w:u w:val="single" w:color="auto"/>
          <w:color w:val="auto"/>
        </w:rPr>
        <w:t>Post-Closing Requirements</w:t>
      </w:r>
      <w:r>
        <w:rPr>
          <w:rFonts w:ascii="Times New Roman" w:cs="Times New Roman" w:eastAsia="Times New Roman" w:hAnsi="Times New Roman"/>
          <w:sz w:val="20"/>
          <w:szCs w:val="20"/>
          <w:color w:val="auto"/>
        </w:rPr>
        <w:t xml:space="preserve">. Not later than the dates set forth in </w:t>
      </w:r>
      <w:r>
        <w:rPr>
          <w:rFonts w:ascii="Times New Roman" w:cs="Times New Roman" w:eastAsia="Times New Roman" w:hAnsi="Times New Roman"/>
          <w:sz w:val="20"/>
          <w:szCs w:val="20"/>
          <w:u w:val="single" w:color="auto"/>
          <w:color w:val="auto"/>
        </w:rPr>
        <w:t>Schedule 5.14</w:t>
      </w:r>
      <w:r>
        <w:rPr>
          <w:rFonts w:ascii="Times New Roman" w:cs="Times New Roman" w:eastAsia="Times New Roman" w:hAnsi="Times New Roman"/>
          <w:sz w:val="20"/>
          <w:szCs w:val="20"/>
          <w:color w:val="auto"/>
        </w:rPr>
        <w:t xml:space="preserve"> (or such later dates as the Administrative Agent shall agree in its sole discretion) or as otherwise required thereunder, the Loan Parties shall take the actions set forth on </w:t>
      </w:r>
      <w:r>
        <w:rPr>
          <w:rFonts w:ascii="Times New Roman" w:cs="Times New Roman" w:eastAsia="Times New Roman" w:hAnsi="Times New Roman"/>
          <w:sz w:val="20"/>
          <w:szCs w:val="20"/>
          <w:u w:val="single" w:color="auto"/>
          <w:color w:val="auto"/>
        </w:rPr>
        <w:t>Schedule 5.14</w:t>
      </w:r>
      <w:r>
        <w:rPr>
          <w:rFonts w:ascii="Times New Roman" w:cs="Times New Roman" w:eastAsia="Times New Roman" w:hAnsi="Times New Roman"/>
          <w:sz w:val="20"/>
          <w:szCs w:val="20"/>
          <w:color w:val="auto"/>
        </w:rPr>
        <w:t>.</w:t>
      </w:r>
    </w:p>
    <w:p>
      <w:pPr>
        <w:spacing w:after="0" w:line="8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color w:val="010000"/>
        </w:rPr>
        <w:t>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108"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Until all of the Secured Obligations shall have been Paid in Full, each Loan Party executing this Agreement covenants and agrees, jointly and severally with all of the other Loan Parties, with the Lenders that:</w:t>
      </w:r>
    </w:p>
    <w:p>
      <w:pPr>
        <w:spacing w:after="0" w:line="14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No Loan Party will, nor will it permit any Subsidiary to, create, incur, assume or suffer to exist any</w:t>
      </w:r>
    </w:p>
    <w:p>
      <w:pPr>
        <w:spacing w:after="0" w:line="211" w:lineRule="auto"/>
        <w:rPr>
          <w:sz w:val="20"/>
          <w:szCs w:val="20"/>
          <w:color w:val="auto"/>
        </w:rPr>
      </w:pPr>
      <w:r>
        <w:rPr>
          <w:rFonts w:ascii="Times New Roman" w:cs="Times New Roman" w:eastAsia="Times New Roman" w:hAnsi="Times New Roman"/>
          <w:sz w:val="20"/>
          <w:szCs w:val="20"/>
          <w:color w:val="auto"/>
        </w:rPr>
        <w:t>Indebtedness, except:</w:t>
      </w:r>
    </w:p>
    <w:p>
      <w:pPr>
        <w:ind w:left="1300" w:hanging="644"/>
        <w:spacing w:after="0"/>
        <w:tabs>
          <w:tab w:leader="none" w:pos="1300" w:val="left"/>
        </w:tabs>
        <w:numPr>
          <w:ilvl w:val="1"/>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Secured Obligations;</w:t>
      </w:r>
    </w:p>
    <w:p>
      <w:pPr>
        <w:spacing w:after="0" w:line="166"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1"/>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existing on the date hereof and set forth in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any Refinance Indebtedness in respect thereof;</w:t>
      </w:r>
    </w:p>
    <w:p>
      <w:pPr>
        <w:spacing w:after="0" w:line="175"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1"/>
          <w:numId w:val="1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Indebtedness of the Borrower to any Subsidiary and of any Subsidiary to the Borrower or any other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6" w:lineRule="exact"/>
        <w:rPr>
          <w:rFonts w:ascii="Times New Roman" w:cs="Times New Roman" w:eastAsia="Times New Roman" w:hAnsi="Times New Roman"/>
          <w:sz w:val="19"/>
          <w:szCs w:val="19"/>
          <w:color w:val="010000"/>
        </w:rPr>
      </w:pPr>
    </w:p>
    <w:p>
      <w:pPr>
        <w:jc w:val="both"/>
        <w:ind w:firstLine="8"/>
        <w:spacing w:after="0" w:line="218" w:lineRule="auto"/>
        <w:tabs>
          <w:tab w:leader="none" w:pos="24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Subsidiary that is not a Loan Party to the Borrower or any other Loan Party shall be subject to Section 6.04 and (ii) Indebtedness of any Loan Party to any Subsidiary that is not a Loan Party shall be subordinated to the Secured Obligations on terms reasonably satisfactory to the Administrative Agent;</w:t>
      </w:r>
    </w:p>
    <w:p>
      <w:pPr>
        <w:spacing w:after="0" w:line="161"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1"/>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Guarantees by the Borrower of Indebtedness of any Subsidiary and by any Subsidiary of Indebtedness of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Indebtedness so Guaranteed is permitted by this Section 6.01, (ii) Guarantees by the Borrower or any other Loan Party of Indebtedness of any Subsidiary that is not a Loan Party shall be subject to Section 6.04 and (iii) Guarantees permitted under this clause (d) shall be subordinated to the Secured Obligations on the same terms as the Indebtedness so Guaranteed is subordinated to the Secured Obligations;</w:t>
      </w:r>
    </w:p>
    <w:p>
      <w:pPr>
        <w:spacing w:after="0" w:line="147" w:lineRule="exact"/>
        <w:rPr>
          <w:rFonts w:ascii="Times New Roman" w:cs="Times New Roman" w:eastAsia="Times New Roman" w:hAnsi="Times New Roman"/>
          <w:sz w:val="20"/>
          <w:szCs w:val="20"/>
          <w:color w:val="010000"/>
        </w:rPr>
      </w:pPr>
    </w:p>
    <w:p>
      <w:pPr>
        <w:jc w:val="both"/>
        <w:ind w:right="20" w:firstLine="656"/>
        <w:spacing w:after="0" w:line="222" w:lineRule="auto"/>
        <w:tabs>
          <w:tab w:leader="none" w:pos="1286" w:val="left"/>
        </w:tabs>
        <w:numPr>
          <w:ilvl w:val="1"/>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is incurred prior to or within 90 days after such acquisition or the completion of such construction or</w:t>
      </w:r>
    </w:p>
    <w:p>
      <w:pPr>
        <w:spacing w:after="0" w:line="221" w:lineRule="auto"/>
        <w:rPr>
          <w:sz w:val="20"/>
          <w:szCs w:val="20"/>
          <w:color w:val="auto"/>
        </w:rPr>
      </w:pPr>
      <w:r>
        <w:rPr>
          <w:rFonts w:ascii="Times New Roman" w:cs="Times New Roman" w:eastAsia="Times New Roman" w:hAnsi="Times New Roman"/>
          <w:sz w:val="20"/>
          <w:szCs w:val="20"/>
          <w:color w:val="auto"/>
        </w:rPr>
        <w:t>improvement and (ii) the aggregate principal amount of Indebtedness permitted by this clause (e), together with any Refinance Indebtedness in respect thereof permitted by clause (f) below, shall not exceed $25,000,000 at any time outstanding;</w:t>
      </w:r>
    </w:p>
    <w:p>
      <w:pPr>
        <w:spacing w:after="0" w:line="162" w:lineRule="exact"/>
        <w:rPr>
          <w:sz w:val="20"/>
          <w:szCs w:val="20"/>
          <w:color w:val="auto"/>
        </w:rPr>
      </w:pPr>
    </w:p>
    <w:p>
      <w:pPr>
        <w:jc w:val="both"/>
        <w:ind w:firstLine="656"/>
        <w:spacing w:after="0" w:line="211" w:lineRule="auto"/>
        <w:tabs>
          <w:tab w:leader="none" w:pos="1291" w:val="left"/>
        </w:tabs>
        <w:numPr>
          <w:ilvl w:val="1"/>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which represents extensions, renewals, refinancing or replacements (such Indebtedness being so extended, renewed, refinanced or replaced being referred to herein as the “</w:t>
      </w:r>
      <w:r>
        <w:rPr>
          <w:rFonts w:ascii="Times New Roman" w:cs="Times New Roman" w:eastAsia="Times New Roman" w:hAnsi="Times New Roman"/>
          <w:sz w:val="20"/>
          <w:szCs w:val="20"/>
          <w:u w:val="single" w:color="auto"/>
          <w:color w:val="auto"/>
        </w:rPr>
        <w:t>Refinance Indebtedness</w:t>
      </w:r>
      <w:r>
        <w:rPr>
          <w:rFonts w:ascii="Times New Roman" w:cs="Times New Roman" w:eastAsia="Times New Roman" w:hAnsi="Times New Roman"/>
          <w:sz w:val="20"/>
          <w:szCs w:val="20"/>
          <w:color w:val="auto"/>
        </w:rPr>
        <w:t>”) of any of the Indebtedness described in clauses (b), (e), (i) and (j) hereof (such Indebtedness being referred to herein as the “</w:t>
      </w:r>
      <w:r>
        <w:rPr>
          <w:rFonts w:ascii="Times New Roman" w:cs="Times New Roman" w:eastAsia="Times New Roman" w:hAnsi="Times New Roman"/>
          <w:sz w:val="20"/>
          <w:szCs w:val="20"/>
          <w:u w:val="single" w:color="auto"/>
          <w:color w:val="auto"/>
        </w:rPr>
        <w:t>Original Indebtedness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Refinance Indebtedness does not increase the principal amount of the Original Indebtedness (plus unpaid accrued interest and premiums thereon and underwriting discounts, defeasance costs, fees, commissions and expenses),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(other than pricing, premiums and optional prepayment or optional redemption provisions) are not materially less favorable to the obligor thereunder than the original terms of such Original Indebtedness, taken as a whole, and (vi) if such Original Indebtedness was subordinated in right of payment to the Obligations or any of the other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166"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84" w:val="left"/>
        </w:tabs>
        <w:numPr>
          <w:ilvl w:val="1"/>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46" w:lineRule="exact"/>
        <w:rPr>
          <w:rFonts w:ascii="Times New Roman" w:cs="Times New Roman" w:eastAsia="Times New Roman" w:hAnsi="Times New Roman"/>
          <w:sz w:val="20"/>
          <w:szCs w:val="20"/>
          <w:color w:val="010000"/>
        </w:rPr>
      </w:pPr>
    </w:p>
    <w:p>
      <w:pPr>
        <w:ind w:right="20" w:firstLine="656"/>
        <w:spacing w:after="0"/>
        <w:tabs>
          <w:tab w:leader="none" w:pos="1284" w:val="left"/>
        </w:tabs>
        <w:numPr>
          <w:ilvl w:val="1"/>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any Loan Party or Subsidiary in respect of performance bonds, bid bonds, appeal bonds, surety bonds and similar obligations, in each case provided in the ordinary course of business;</w:t>
      </w:r>
    </w:p>
    <w:p>
      <w:pPr>
        <w:spacing w:after="0" w:line="161"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1"/>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in connection with any Swap Agreement not prohibited under Section 6.07;</w:t>
      </w:r>
    </w:p>
    <w:p>
      <w:pPr>
        <w:spacing w:after="0" w:line="175"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94" w:val="left"/>
        </w:tabs>
        <w:numPr>
          <w:ilvl w:val="1"/>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of any Person that becomes a Subsidiary after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exists at the time such Person becomes a Subsidiary and is not created in contemplation of or in connection with such Person becoming a Subsidiary and</w:t>
      </w:r>
    </w:p>
    <w:p>
      <w:pPr>
        <w:spacing w:after="0" w:line="1" w:lineRule="exact"/>
        <w:rPr>
          <w:rFonts w:ascii="Times New Roman" w:cs="Times New Roman" w:eastAsia="Times New Roman" w:hAnsi="Times New Roman"/>
          <w:sz w:val="20"/>
          <w:szCs w:val="20"/>
          <w:color w:val="010000"/>
        </w:rPr>
      </w:pPr>
    </w:p>
    <w:p>
      <w:pPr>
        <w:ind w:firstLine="8"/>
        <w:spacing w:after="0" w:line="221" w:lineRule="auto"/>
        <w:tabs>
          <w:tab w:leader="none" w:pos="30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Indebtedness permitted by this clause (j), together with any Refinance Indebtedness in respect thereof permitted by clause (f) above, shall not exceed $10,000,000 at any time outstanding;</w:t>
      </w:r>
    </w:p>
    <w:p>
      <w:pPr>
        <w:spacing w:after="0" w:line="1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reserved</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w:t>
      </w:r>
    </w:p>
    <w:p>
      <w:pPr>
        <w:spacing w:after="0" w:line="204"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94" w:val="left"/>
        </w:tabs>
        <w:numPr>
          <w:ilvl w:val="1"/>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incurred in the ordinary course of business in connection with (i) Banking Services; provided, that any Indebtedness or other obligations incurred with respect to clause (e) of the definition of Banking Services shall not exceed $8,000,000 at any time, and (ii) other cash pooling, netting and cash management arrangements consisting of overdrafts not outstanding more than 10 Business Days or similar agreements not in excess of $5,000,000 at any time outstanding;</w:t>
      </w:r>
    </w:p>
    <w:p>
      <w:pPr>
        <w:spacing w:after="0" w:line="148" w:lineRule="exact"/>
        <w:rPr>
          <w:rFonts w:ascii="Times New Roman" w:cs="Times New Roman" w:eastAsia="Times New Roman" w:hAnsi="Times New Roman"/>
          <w:sz w:val="20"/>
          <w:szCs w:val="20"/>
          <w:color w:val="010000"/>
        </w:rPr>
      </w:pPr>
    </w:p>
    <w:p>
      <w:pPr>
        <w:jc w:val="both"/>
        <w:ind w:firstLine="656"/>
        <w:spacing w:after="0" w:line="218" w:lineRule="auto"/>
        <w:tabs>
          <w:tab w:leader="none" w:pos="1285" w:val="left"/>
        </w:tabs>
        <w:numPr>
          <w:ilvl w:val="1"/>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arising from agreements providing for indemnification, adjustment of purchase price, earnout, deferred purchase price or similar obligations in connection with acquisitions or dispositions not prohibited under the Loan Documents or from guaranties, surety bonds or performance bonds securing performance of such obligations, in connection with Permitted Acquisitions or dispositions not prohibited under the Loan Documents (including Equity Interests of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case of any earnout or deferred purchase price, the Borrower shall have included the Borrower’s reasonable, good faith determination of the maximum possible amount thereof as Indebtedness in determining of whether the underlying Acquisition was a Permitted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76"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judgments entered against the Borrower or any Subsidiary to the extent not constituting an Event of Default;</w:t>
      </w:r>
    </w:p>
    <w:p>
      <w:pPr>
        <w:spacing w:after="0" w:line="188"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owed to sellers constituting consideration for Permitted Acquisitions;</w:t>
      </w:r>
    </w:p>
    <w:p>
      <w:pPr>
        <w:spacing w:after="0" w:line="175"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arising in connection with any Permitted Factoring Transaction; and</w:t>
      </w:r>
    </w:p>
    <w:p>
      <w:pPr>
        <w:spacing w:after="0" w:line="188"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284"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other Indebtedness in an aggregate principal amount not exceeding the greater of (i) $35,000,000 and (ii) 20% of Consolidated EBITDA for the period of four consecutive fiscal quarters most recently ended for which financial statements have been delivered pursuant to Section 5.01(a) or (b) (determined as of the time of incurrence) at any time outstanding; provided that no Event of Default shall have occurred and be continuing at the time such Indebtedness is incurred (or, with respect to any revolving credit facility, provided that no Event of Default shall have occurred and be continuing at the time such facility is established).</w:t>
      </w:r>
    </w:p>
    <w:p>
      <w:pPr>
        <w:spacing w:after="0" w:line="14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 w:lineRule="exact"/>
        <w:rPr>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created pursuant to any Loan Document;</w:t>
      </w:r>
    </w:p>
    <w:p>
      <w:pPr>
        <w:spacing w:after="0" w:line="166"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Encumbrances;</w:t>
      </w:r>
    </w:p>
    <w:p>
      <w:pPr>
        <w:spacing w:after="0" w:line="188"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6"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Lien on any property or asset of the Borrower or any Subsidiary existing on the date hereof and set forth in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shall not apply to any other property or asset of the Borrower or any Subsidiary and (ii) such Lien shall secure only those obligations which it secures on the date hereof and extensions, renewals and replacements thereof that do not increase the outstanding principal amount thereof;</w:t>
      </w:r>
    </w:p>
    <w:p>
      <w:pPr>
        <w:spacing w:after="0" w:line="148"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284"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on fixed or capital assets acquired, constructed or improved by the Borrower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secure Indebtedness permitted by Section 6.01(e), (ii) such Liens and the Indebtedness secured thereby are incurred prior to or within 90 days after such acquisition or the completion of such construction or improvement, (iii) the Indebtedness secured thereby does not exceed 100% of the cost of acquiring, constructing or improving such fixed or capital assets and (iv) such Liens shall not apply to any other property or assets of the Borrower or any Subsidiary other than proceeds of the encumbered fixed or capital assets;</w:t>
      </w:r>
    </w:p>
    <w:p>
      <w:pPr>
        <w:spacing w:after="0" w:line="147"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286" w:val="left"/>
        </w:tabs>
        <w:numPr>
          <w:ilvl w:val="0"/>
          <w:numId w:val="10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Lien existing on any property or asset prior to the acquisition thereof by the Borrower or any Subsidiary or existing on any property or asset of any Person that becomes a Loan Party after the date hereof prior to the time such Person becomes a Loan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 is not created in contemplation of or in connection with such acquisition or such Person becoming a Loan Party, as the case may be, (ii) such Lien shall not apply to any other property or assets of any Loan Party or Subsidiary and (iii) such Lien shall secure only those obligations which it secures on the date of such acquisition or the date such Person becomes a Loan Party, as the case may be, and extensions, renewals and replacements thereof in accordance with Section 6.01(f) in the case of obligations constituting Indebtedness;</w:t>
      </w:r>
    </w:p>
    <w:p>
      <w:pPr>
        <w:spacing w:after="0" w:line="147" w:lineRule="exact"/>
        <w:rPr>
          <w:rFonts w:ascii="Times New Roman" w:cs="Times New Roman" w:eastAsia="Times New Roman" w:hAnsi="Times New Roman"/>
          <w:sz w:val="19"/>
          <w:szCs w:val="19"/>
          <w:color w:val="010000"/>
        </w:rPr>
      </w:pPr>
    </w:p>
    <w:p>
      <w:pPr>
        <w:ind w:firstLine="656"/>
        <w:spacing w:after="0"/>
        <w:tabs>
          <w:tab w:leader="none" w:pos="1291"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of a collecting bank arising in the ordinary course of business under Section 4-210 of the UCC in effect in the relevant jurisdiction covering only the items being collected upon;</w:t>
      </w:r>
    </w:p>
    <w:p>
      <w:pPr>
        <w:spacing w:after="0" w:line="161"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out of Sale and Leaseback Transactions permitted by Section 6.06;</w:t>
      </w:r>
    </w:p>
    <w:p>
      <w:pPr>
        <w:spacing w:after="0" w:line="175" w:lineRule="exact"/>
        <w:rPr>
          <w:rFonts w:ascii="Times New Roman" w:cs="Times New Roman" w:eastAsia="Times New Roman" w:hAnsi="Times New Roman"/>
          <w:sz w:val="20"/>
          <w:szCs w:val="20"/>
          <w:color w:val="010000"/>
        </w:rPr>
      </w:pPr>
    </w:p>
    <w:p>
      <w:pPr>
        <w:ind w:firstLine="656"/>
        <w:spacing w:after="0"/>
        <w:tabs>
          <w:tab w:leader="none" w:pos="1284"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granted by a Subsidiary that is not a Loan Party in favor of the Borrower or another Loan Party in respect of Indebtedness owed by such Subsidiary;</w:t>
      </w:r>
    </w:p>
    <w:p>
      <w:pPr>
        <w:spacing w:after="0" w:line="161"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Factoring Assets Disposed of in a Permitted Factoring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70"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assignments or sales of any income or revenues (including accounts receivable) constituting Dispositions permitted by</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6.05(c);</w:t>
      </w:r>
    </w:p>
    <w:p>
      <w:pPr>
        <w:spacing w:after="0" w:line="153"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284" w:val="left"/>
        </w:tabs>
        <w:numPr>
          <w:ilvl w:val="0"/>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broker’s Liens, bankers’ Liens, rights of setoff and other similar Liens existing with respect to cash and Permitted Investments on deposit in one or more accounts maintained by the Borrower or any Subsidiary, in each case, granted in the ordinary course of business in favor of the broker or bank with which such accounts are maintained, including any such Liens or rights of setoff securing amounts owing in the ordinary course of business to such bank with respect to cash management and operating account arrangements, including those involving pooled accounts and netting arrangements;</w:t>
      </w:r>
    </w:p>
    <w:p>
      <w:pPr>
        <w:spacing w:after="0" w:line="160" w:lineRule="exact"/>
        <w:rPr>
          <w:rFonts w:ascii="Times New Roman" w:cs="Times New Roman" w:eastAsia="Times New Roman" w:hAnsi="Times New Roman"/>
          <w:sz w:val="20"/>
          <w:szCs w:val="20"/>
          <w:color w:val="010000"/>
        </w:rPr>
      </w:pPr>
    </w:p>
    <w:p>
      <w:pPr>
        <w:ind w:firstLine="656"/>
        <w:spacing w:after="0" w:line="233" w:lineRule="auto"/>
        <w:tabs>
          <w:tab w:leader="none" w:pos="1294" w:val="left"/>
        </w:tabs>
        <w:numPr>
          <w:ilvl w:val="0"/>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put and call arrangements related to Equity Interests set forth in the organizational documents or related agreements with respect to any Subsidiary that is a joint venture;</w:t>
      </w:r>
    </w:p>
    <w:p>
      <w:pPr>
        <w:spacing w:after="0" w:line="160"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85" w:val="left"/>
        </w:tabs>
        <w:numPr>
          <w:ilvl w:val="0"/>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cash or Permitted Investments constituting earnest money deposits made by the Borrower or any Subsidiary in connection with any letter of intent or purchase agreement with respect to any Permitted Acquisition or other acquisition not prohibited under the Loan Documents; and</w:t>
      </w:r>
    </w:p>
    <w:p>
      <w:pPr>
        <w:spacing w:after="0" w:line="160"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4" w:val="left"/>
        </w:tabs>
        <w:numPr>
          <w:ilvl w:val="0"/>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other Liens on any property or asset securing obligations not in excess of the greater of (i) $15,000,000 and (ii) 7.5% of Consolidated EBITDA for the period of four consecutive fiscal quarters most recently ended for which financial statements have been delivered pursuant to Section 5.01(a) or (b) (determined at the time of incurrence) at any time outstanding; provided that no Event of Default shall have occurred and be continuing at the time such Lien is incurred.</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u w:val="single" w:color="auto"/>
          <w:color w:val="auto"/>
        </w:rPr>
        <w:t>Fundamental Changes</w:t>
      </w:r>
      <w:r>
        <w:rPr>
          <w:rFonts w:ascii="Times New Roman" w:cs="Times New Roman" w:eastAsia="Times New Roman" w:hAnsi="Times New Roman"/>
          <w:sz w:val="19"/>
          <w:szCs w:val="19"/>
          <w:color w:val="auto"/>
        </w:rPr>
        <w:t>.</w:t>
      </w:r>
    </w:p>
    <w:p>
      <w:pPr>
        <w:jc w:val="both"/>
        <w:ind w:firstLine="656"/>
        <w:spacing w:after="0" w:line="220" w:lineRule="auto"/>
        <w:tabs>
          <w:tab w:leader="none" w:pos="1286" w:val="left"/>
        </w:tabs>
        <w:numPr>
          <w:ilvl w:val="0"/>
          <w:numId w:val="10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 Loan Party will, nor will it permit any Subsidiary to, merge into or consolidate with any other Person, or permit any other Person to merge into or consolidate with it, or otherwise Dispose of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entity, (ii) any Loan Party (other than the Borrower) may merge into any other Loan Party in a transaction in which the surviving entity is a Loan Party, (iii) any Subsidiary that is not a Loan Party may liquidate or dissolve if the Borrower determines in good faith that such liquidation or dissolution is in the best interests of the Borrower and is not materially disadvantageous to the Lenders (as reasonably determined by the Administrative Agent), (iv) any Subsidiary may sell, transfer, lease or otherwise dispose of its assets to the Borrower or to another Subsidiary, subject to Section 6.09 in the case of any sale, transfer, lease or other disposition involving a Subsidiary that is not a Loan Party and (v) any Permitted Acquisition may be structured as a merger or consolidation otherwise in compliance with this Section 6.03;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merger or consolidation involving a Person that is not a wholly-owned Subsidiary immediately prior to such merger shall not be permitted unless also permitted by Section 6.04.</w:t>
      </w:r>
    </w:p>
    <w:p>
      <w:pPr>
        <w:spacing w:after="0" w:line="166" w:lineRule="exact"/>
        <w:rPr>
          <w:rFonts w:ascii="Times New Roman" w:cs="Times New Roman" w:eastAsia="Times New Roman" w:hAnsi="Times New Roman"/>
          <w:sz w:val="19"/>
          <w:szCs w:val="19"/>
          <w:color w:val="010000"/>
        </w:rPr>
      </w:pPr>
    </w:p>
    <w:p>
      <w:pPr>
        <w:jc w:val="both"/>
        <w:ind w:firstLine="656"/>
        <w:spacing w:after="0" w:line="226" w:lineRule="auto"/>
        <w:tabs>
          <w:tab w:leader="none" w:pos="1284"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Loan Party will, nor will it permit any Subsidiary to, engage to any material extent in any business other than businesses of the type conducted by the Borrower and its Subsidiaries on the date hereof and businesses which are, in the good faith judgment of the Borrower, similar, complementary or substantially related thereto or are reasonable extensions thereof.</w:t>
      </w:r>
    </w:p>
    <w:p>
      <w:pPr>
        <w:spacing w:after="0" w:line="160" w:lineRule="exact"/>
        <w:rPr>
          <w:rFonts w:ascii="Times New Roman" w:cs="Times New Roman" w:eastAsia="Times New Roman" w:hAnsi="Times New Roman"/>
          <w:sz w:val="20"/>
          <w:szCs w:val="20"/>
          <w:color w:val="010000"/>
        </w:rPr>
      </w:pPr>
    </w:p>
    <w:p>
      <w:pPr>
        <w:ind w:firstLine="656"/>
        <w:spacing w:after="0"/>
        <w:tabs>
          <w:tab w:leader="none" w:pos="1286"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Loan Party will, nor will it permit any Subsidiary to change its fiscal year or any fiscal quarter from the basis in effect on the Effective Date.</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Investments, Loans, Advances, Guarantees and Acquisitions</w:t>
      </w:r>
      <w:r>
        <w:rPr>
          <w:rFonts w:ascii="Times New Roman" w:cs="Times New Roman" w:eastAsia="Times New Roman" w:hAnsi="Times New Roman"/>
          <w:sz w:val="20"/>
          <w:szCs w:val="20"/>
          <w:color w:val="auto"/>
        </w:rPr>
        <w:t>. No Loan Party will, nor will it permit any Subsidiary to, form any subsidiary after the Effective Date, or purchase, hold or acquire (including pursuant to any merger or consolidation with any Person that</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was not a Loan Party and a wholly-owned Subsidiary prior to such merger or consolidation) any Equity Interests, evidences of indebtedness or other securities (including any option, warrant or other right to acquire any of the foregoing) of, make or permit to exist any loans or</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advances to, Guarantee any obligations of, or make or permit to exist any investment or any other interest in, any other Person, or purchase or otherwise acquire (in one transaction or a series of transactions) any Person or any assets of any other Person constituting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unit (whether through purchase of assets, merger or otherwise) (each such action, an “</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except:</w:t>
      </w:r>
    </w:p>
    <w:p>
      <w:pPr>
        <w:ind w:left="1300" w:hanging="644"/>
        <w:spacing w:after="0"/>
        <w:tabs>
          <w:tab w:leader="none" w:pos="1300"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cash and Permitted Investments;</w:t>
      </w:r>
    </w:p>
    <w:p>
      <w:pPr>
        <w:spacing w:after="0" w:line="153"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in existence on the date hereof and described in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86"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made by the Borrower and the Subsidiaries in Equity Interests in their respective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Equity Interests held by a Loan Party shall be pledged pursuant to the Security Agreement and (ii) the aggregate outstanding amount of investments made, after the Effective Date, by Loan Parties in Subsidiaries that are not Loan Parties under this clause (c) (together with outstanding intercompany loans permitted under clause (ii) of the proviso to Section 6.04(d) and outstanding principal amount of Indebtedness subject to Guarantees permitted under the proviso to Section 6.04(e)) shall not exceed $30,000,000 at any time outstanding (with the amount of any such investments being the original cost of such investment, less all repayments, returns, dividends and distributions received in cash in respect of such investment but not to exceed the original amount invested, and in each case determined without regard to any write-downs or write-offs), it being understood that investments held by Subsidiaries that are not Loan Parties as of the Effective Date shall not count against such $30,000,000 limitation;</w:t>
      </w:r>
    </w:p>
    <w:p>
      <w:pPr>
        <w:spacing w:after="0" w:line="161" w:lineRule="exact"/>
        <w:rPr>
          <w:rFonts w:ascii="Times New Roman" w:cs="Times New Roman" w:eastAsia="Times New Roman" w:hAnsi="Times New Roman"/>
          <w:sz w:val="20"/>
          <w:szCs w:val="20"/>
          <w:color w:val="010000"/>
        </w:rPr>
      </w:pPr>
    </w:p>
    <w:p>
      <w:pPr>
        <w:jc w:val="both"/>
        <w:ind w:firstLine="656"/>
        <w:spacing w:after="0" w:line="227" w:lineRule="auto"/>
        <w:tabs>
          <w:tab w:leader="none" w:pos="1284" w:val="left"/>
        </w:tabs>
        <w:numPr>
          <w:ilvl w:val="0"/>
          <w:numId w:val="10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loans or advances made by any Loan Party to any Subsidiary and made by any Subsidiary to a Loan Party or any other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any such loans and advances made by a Loan Party shall be evidenced by a promissory note pledged pursuant to the Security Agreement and (ii) the outstanding amount of such loans and advances made, after the Effective Date, pursuant to this clause (d) by Loan Parties to Subsidiaries that are not Loan Parties (together with outstanding investments permitted under clause (ii) of the proviso to Section 6.04(c) and the outstanding principal amount of Indebtedness subject to Guarantees permitted under the proviso to Section 6.04(e)) shall not exceed $30,000,000 at any time outstanding (in each case determined without regard to any write-downs or write-offs);</w:t>
      </w:r>
    </w:p>
    <w:p>
      <w:pPr>
        <w:spacing w:after="0" w:line="164" w:lineRule="exact"/>
        <w:rPr>
          <w:rFonts w:ascii="Times New Roman" w:cs="Times New Roman" w:eastAsia="Times New Roman" w:hAnsi="Times New Roman"/>
          <w:sz w:val="19"/>
          <w:szCs w:val="19"/>
          <w:color w:val="010000"/>
        </w:rPr>
      </w:pPr>
    </w:p>
    <w:p>
      <w:pPr>
        <w:jc w:val="both"/>
        <w:ind w:firstLine="656"/>
        <w:spacing w:after="0" w:line="217" w:lineRule="auto"/>
        <w:tabs>
          <w:tab w:leader="none" w:pos="1286"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Guarantees constituting Indebtedness permitted by Section 6.01,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principal amount of Indebtedness of Subsidiaries that are not Loan Parties that is permitted to be Guaranteed by any Loan Party pursuant to this clause (e) (together with outstanding investments permitted under clause (ii) of the proviso to Section 6.04(c) and outstanding intercompany loans permitted under clause (ii) of the proviso to Section 6.04(d)) shall not exceed $30,000,000 at any time outstanding (in each case determined without regard to any write-downs or write-offs);</w:t>
      </w:r>
    </w:p>
    <w:p>
      <w:pPr>
        <w:spacing w:after="0" w:line="161"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91"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loans or advances made by a Loan Party or any Subsidiary to its employees on an arms-length basis in the ordinary course of business consistent with past practices for travel and entertainment expenses, relocation costs and similar purposes up to a maximum of $3,000,000 in the aggregate at any one time outstanding;</w:t>
      </w:r>
    </w:p>
    <w:p>
      <w:pPr>
        <w:spacing w:after="0" w:line="160" w:lineRule="exact"/>
        <w:rPr>
          <w:rFonts w:ascii="Times New Roman" w:cs="Times New Roman" w:eastAsia="Times New Roman" w:hAnsi="Times New Roman"/>
          <w:sz w:val="20"/>
          <w:szCs w:val="20"/>
          <w:color w:val="010000"/>
        </w:rPr>
      </w:pPr>
    </w:p>
    <w:p>
      <w:pPr>
        <w:ind w:firstLine="656"/>
        <w:spacing w:after="0"/>
        <w:tabs>
          <w:tab w:leader="none" w:pos="1284"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received in connection with the bankruptcy or reorganization of any Person or in settlement of obligations of, or in disputes with, any Person arising in the ordinary course of business;</w:t>
      </w:r>
    </w:p>
    <w:p>
      <w:pPr>
        <w:spacing w:after="0" w:line="147"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the form of Swap Agreements permitted by Section 6.07;</w:t>
      </w:r>
    </w:p>
    <w:p>
      <w:pPr>
        <w:spacing w:after="0" w:line="188" w:lineRule="exact"/>
        <w:rPr>
          <w:rFonts w:ascii="Times New Roman" w:cs="Times New Roman" w:eastAsia="Times New Roman" w:hAnsi="Times New Roman"/>
          <w:sz w:val="20"/>
          <w:szCs w:val="20"/>
          <w:color w:val="010000"/>
        </w:rPr>
      </w:pPr>
    </w:p>
    <w:p>
      <w:pPr>
        <w:jc w:val="both"/>
        <w:ind w:right="20" w:firstLine="656"/>
        <w:spacing w:after="0" w:line="226" w:lineRule="auto"/>
        <w:tabs>
          <w:tab w:leader="none" w:pos="1294"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of any Person existing at the time such Person becomes a Subsidiary of the Borrower or consolidates or merges with the Borrower or any Subsidiary (including in connection with a Permitted Acquisition), so long as such investments were not made in contemplation of such Person becoming a Subsidiary or of such merger;</w:t>
      </w:r>
    </w:p>
    <w:p>
      <w:pPr>
        <w:spacing w:after="0" w:line="160"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received in connection with the Disposition of assets permitted by Section 6.05;</w:t>
      </w:r>
    </w:p>
    <w:p>
      <w:pPr>
        <w:spacing w:after="0" w:line="188"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constituting deposits described in clauses (c) and (d) of the definition of the term “Permitted Encumbrances”;</w:t>
      </w:r>
    </w:p>
    <w:p>
      <w:pPr>
        <w:spacing w:after="0" w:line="175"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76"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extensions of trade credit in the ordinary course of business;</w:t>
      </w:r>
    </w:p>
    <w:p>
      <w:pPr>
        <w:spacing w:after="0" w:line="188" w:lineRule="exact"/>
        <w:rPr>
          <w:rFonts w:ascii="Times New Roman" w:cs="Times New Roman" w:eastAsia="Times New Roman" w:hAnsi="Times New Roman"/>
          <w:sz w:val="20"/>
          <w:szCs w:val="20"/>
          <w:color w:val="010000"/>
        </w:rPr>
      </w:pPr>
    </w:p>
    <w:p>
      <w:pPr>
        <w:jc w:val="both"/>
        <w:ind w:firstLine="656"/>
        <w:spacing w:after="0" w:line="234" w:lineRule="auto"/>
        <w:tabs>
          <w:tab w:leader="none" w:pos="1284" w:val="left"/>
        </w:tabs>
        <w:numPr>
          <w:ilvl w:val="0"/>
          <w:numId w:val="10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Guarantees in the ordinary course of business of commercial obligations of Subsidiaries not constituting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any such guaranteed obligations of Subsidiaries that are not Loan Parties shall not exceed the greater of (i) $25,000,000 and (ii) 15% of Consolidated EBITDA for the period of four consecutive fiscal quarters most recently ended for which financial statements have been delivered pursuant to Section 5.01(a) or (b) (determined as of the time of incurrence) at any time outstanding;</w:t>
      </w:r>
    </w:p>
    <w:p>
      <w:pPr>
        <w:spacing w:after="0" w:line="146" w:lineRule="exact"/>
        <w:rPr>
          <w:rFonts w:ascii="Times New Roman" w:cs="Times New Roman" w:eastAsia="Times New Roman" w:hAnsi="Times New Roman"/>
          <w:sz w:val="19"/>
          <w:szCs w:val="19"/>
          <w:color w:val="010000"/>
        </w:rPr>
      </w:pPr>
    </w:p>
    <w:p>
      <w:pPr>
        <w:jc w:val="both"/>
        <w:ind w:firstLine="656"/>
        <w:spacing w:after="0" w:line="222" w:lineRule="auto"/>
        <w:tabs>
          <w:tab w:leader="none" w:pos="1284"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addition to investments otherwise permitted by this Section 6.04, other investments (excluding Acquisitions) in an aggregate amount at any time outstanding not to exceed the greater of (i) $15,000,000 and (ii) 7.5% of Consolidated EBITDA for the period of four consecutive fiscal quarters most recently ended for which financial statements have been delivered pursuant to Section 5.01(a) or (b) (determined at the time such investment is made).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20"/>
          <w:szCs w:val="20"/>
          <w:u w:val="single" w:color="auto"/>
          <w:color w:val="auto"/>
        </w:rPr>
        <w:t>Asset Sales</w:t>
      </w:r>
      <w:r>
        <w:rPr>
          <w:rFonts w:ascii="Times New Roman" w:cs="Times New Roman" w:eastAsia="Times New Roman" w:hAnsi="Times New Roman"/>
          <w:sz w:val="20"/>
          <w:szCs w:val="20"/>
          <w:color w:val="auto"/>
        </w:rPr>
        <w:t>. No Loan Party will, nor will it permit any Subsidiary to, Dispose of any asset, including any Equity Interest</w:t>
      </w:r>
    </w:p>
    <w:p>
      <w:pPr>
        <w:spacing w:after="0" w:line="197" w:lineRule="auto"/>
        <w:rPr>
          <w:sz w:val="20"/>
          <w:szCs w:val="20"/>
          <w:color w:val="auto"/>
        </w:rPr>
      </w:pPr>
      <w:r>
        <w:rPr>
          <w:rFonts w:ascii="Times New Roman" w:cs="Times New Roman" w:eastAsia="Times New Roman" w:hAnsi="Times New Roman"/>
          <w:sz w:val="20"/>
          <w:szCs w:val="20"/>
          <w:color w:val="auto"/>
        </w:rPr>
        <w:t>owned by it, nor will the Borrower permit any Subsidiary to issue any additional Equity Interest in such Subsidiary (other than to the</w:t>
      </w:r>
    </w:p>
    <w:p>
      <w:pPr>
        <w:spacing w:after="0" w:line="211" w:lineRule="auto"/>
        <w:rPr>
          <w:sz w:val="20"/>
          <w:szCs w:val="20"/>
          <w:color w:val="auto"/>
        </w:rPr>
      </w:pPr>
      <w:r>
        <w:rPr>
          <w:rFonts w:ascii="Times New Roman" w:cs="Times New Roman" w:eastAsia="Times New Roman" w:hAnsi="Times New Roman"/>
          <w:sz w:val="20"/>
          <w:szCs w:val="20"/>
          <w:color w:val="auto"/>
        </w:rPr>
        <w:t>Borrower or another Subsidiary in compliance with Section 6.04), except:</w:t>
      </w:r>
    </w:p>
    <w:p>
      <w:pPr>
        <w:spacing w:after="0" w:line="1" w:lineRule="exact"/>
        <w:rPr>
          <w:sz w:val="20"/>
          <w:szCs w:val="20"/>
          <w:color w:val="auto"/>
        </w:rPr>
      </w:pPr>
    </w:p>
    <w:p>
      <w:pPr>
        <w:ind w:firstLine="656"/>
        <w:spacing w:after="0" w:line="228" w:lineRule="auto"/>
        <w:tabs>
          <w:tab w:leader="none" w:pos="1286"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of (i) Inventory in the ordinary course of business and (ii) used, obsolete, worn out or surplus equipment or property in the ordinary course of business;</w:t>
      </w:r>
    </w:p>
    <w:p>
      <w:pPr>
        <w:spacing w:after="0" w:line="148"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4"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Dispositions of assets to the Borrower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Dispositions involving a Subsidiary that is not a Loan Party shall be made in compliance with Section 6.09 and (ii) the aggregate fair market value of all assets Disposed of pursuant to this clause (b) by Loan Parties to Subsidiaries that are not Loan Parties during the term of this Agreement (other than investments permitted by Section 6.04) shall not exceed $10,000,000;</w:t>
      </w:r>
    </w:p>
    <w:p>
      <w:pPr>
        <w:spacing w:after="0" w:line="161"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of Accounts in connection with the compromise, settlement or collection thereof;</w:t>
      </w:r>
    </w:p>
    <w:p>
      <w:pPr>
        <w:spacing w:after="0" w:line="175"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of Permitted Investments and other investments permitted by Section 6.04;</w:t>
      </w:r>
    </w:p>
    <w:p>
      <w:pPr>
        <w:spacing w:after="0" w:line="188"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Sale and Leaseback Transactions permitted by Section 6.06;</w:t>
      </w:r>
    </w:p>
    <w:p>
      <w:pPr>
        <w:spacing w:after="0" w:line="188" w:lineRule="exact"/>
        <w:rPr>
          <w:rFonts w:ascii="Times New Roman" w:cs="Times New Roman" w:eastAsia="Times New Roman" w:hAnsi="Times New Roman"/>
          <w:sz w:val="20"/>
          <w:szCs w:val="20"/>
          <w:color w:val="010000"/>
        </w:rPr>
      </w:pPr>
    </w:p>
    <w:p>
      <w:pPr>
        <w:ind w:firstLine="656"/>
        <w:spacing w:after="0" w:line="233" w:lineRule="auto"/>
        <w:tabs>
          <w:tab w:leader="none" w:pos="1291"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resulting from any casualty or other insured damage to, or any taking under power of eminent domain or by condemnation or similar proceeding of, any property or asset of the Borrower or any Subsidiary;</w:t>
      </w:r>
    </w:p>
    <w:p>
      <w:pPr>
        <w:spacing w:after="0" w:line="160"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transactions permitted by Section 6.03(a);</w:t>
      </w:r>
    </w:p>
    <w:p>
      <w:pPr>
        <w:spacing w:after="0" w:line="188" w:lineRule="exact"/>
        <w:rPr>
          <w:rFonts w:ascii="Times New Roman" w:cs="Times New Roman" w:eastAsia="Times New Roman" w:hAnsi="Times New Roman"/>
          <w:sz w:val="20"/>
          <w:szCs w:val="20"/>
          <w:color w:val="010000"/>
        </w:rPr>
      </w:pPr>
    </w:p>
    <w:p>
      <w:pPr>
        <w:jc w:val="both"/>
        <w:ind w:firstLine="656"/>
        <w:spacing w:after="0" w:line="217" w:lineRule="auto"/>
        <w:tabs>
          <w:tab w:leader="none" w:pos="1284"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other Dispositions of assets (other than Equity Interests in a Subsidiary unless all Equity Interests in such Subsidiary are sold) that are not permitted by any other clause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fair market value of all assets Disposed of in reliance upon this paragraph (h) during any fiscal year of the Borrower shall not exceed the greater of (i) $15,000,000 and (ii) 7.5% of Consolidated EBITDA for the period of four consecutive fiscal quarters most recently ended for which financial statements have been delivered pursuant to Section 5.01(a) or (b) (determined at the time of such Disposition);</w:t>
      </w:r>
    </w:p>
    <w:p>
      <w:pPr>
        <w:spacing w:after="0" w:line="161"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Restricted Payments not prohibited under Section 6.08;</w:t>
      </w:r>
    </w:p>
    <w:p>
      <w:pPr>
        <w:spacing w:after="0" w:line="188"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use of cash in a manner not otherwise prohibited by any Loan Document;</w:t>
      </w:r>
    </w:p>
    <w:p>
      <w:pPr>
        <w:spacing w:after="0" w:line="175" w:lineRule="exact"/>
        <w:rPr>
          <w:rFonts w:ascii="Times New Roman" w:cs="Times New Roman" w:eastAsia="Times New Roman" w:hAnsi="Times New Roman"/>
          <w:sz w:val="20"/>
          <w:szCs w:val="20"/>
          <w:color w:val="010000"/>
        </w:rPr>
      </w:pPr>
    </w:p>
    <w:p>
      <w:pPr>
        <w:ind w:firstLine="656"/>
        <w:spacing w:after="0"/>
        <w:tabs>
          <w:tab w:leader="none" w:pos="1284"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of equipment or real property if exchanged for credit against the proceeds of replacement property or the proceeds of the Disposition are so applied reasonably promptly;</w:t>
      </w:r>
    </w:p>
    <w:p>
      <w:pPr>
        <w:spacing w:after="0" w:line="161"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Disposition of Factoring Assets in any Permitted Factoring Transaction;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6" w:lineRule="exact"/>
        <w:rPr>
          <w:sz w:val="20"/>
          <w:szCs w:val="20"/>
          <w:color w:val="auto"/>
        </w:rPr>
      </w:pPr>
    </w:p>
    <w:p>
      <w:pPr>
        <w:ind w:firstLine="656"/>
        <w:spacing w:after="0"/>
        <w:tabs>
          <w:tab w:leader="none" w:pos="1285"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leases, subleases, licenses or sublicenses of property in the ordinary course of business and not interfering with the business of any Loan Party.</w:t>
      </w:r>
    </w:p>
    <w:p>
      <w:pPr>
        <w:spacing w:after="0" w:line="16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Dispositions permitted under this Section 6.05 (other than those permitted by paragraphs (b), (d), (f), (i), (j) and (l) above) shall be made for fair value and for at least 75% cash consideration.</w:t>
      </w:r>
    </w:p>
    <w:p>
      <w:pPr>
        <w:spacing w:after="0" w:line="146"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Sale and Leaseback Transactions</w:t>
      </w:r>
      <w:r>
        <w:rPr>
          <w:rFonts w:ascii="Times New Roman" w:cs="Times New Roman" w:eastAsia="Times New Roman" w:hAnsi="Times New Roman"/>
          <w:sz w:val="20"/>
          <w:szCs w:val="20"/>
          <w:color w:val="auto"/>
        </w:rPr>
        <w:t>. No Loan Party will, nor will it permit any Subsidiary to, enter into any arrangement, directly or indirectly, whereby it shall sell or transfer any property, real or personal, used or useful in its business, whether now owned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hereafter acquired, and thereafter rent or lease such property or other property that it intends to use for substantially the same purpose or purposes as the property sold or transferred (a “</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except for any such sale of any fixed or capital assets by</w:t>
      </w:r>
    </w:p>
    <w:p>
      <w:pPr>
        <w:spacing w:after="0" w:line="223" w:lineRule="auto"/>
        <w:rPr>
          <w:sz w:val="20"/>
          <w:szCs w:val="20"/>
          <w:color w:val="auto"/>
        </w:rPr>
      </w:pPr>
      <w:r>
        <w:rPr>
          <w:rFonts w:ascii="Times New Roman" w:cs="Times New Roman" w:eastAsia="Times New Roman" w:hAnsi="Times New Roman"/>
          <w:sz w:val="19"/>
          <w:szCs w:val="19"/>
          <w:color w:val="auto"/>
        </w:rPr>
        <w:t>the Borrower or any Subsidiary that is made for cash consideration in an amount not less than the fair value of such fixed or capital asset and</w:t>
      </w:r>
    </w:p>
    <w:p>
      <w:pPr>
        <w:ind w:left="660" w:hanging="647"/>
        <w:spacing w:after="0" w:line="204" w:lineRule="auto"/>
        <w:rPr>
          <w:sz w:val="20"/>
          <w:szCs w:val="20"/>
          <w:color w:val="auto"/>
        </w:rPr>
      </w:pPr>
      <w:r>
        <w:rPr>
          <w:rFonts w:ascii="Times New Roman" w:cs="Times New Roman" w:eastAsia="Times New Roman" w:hAnsi="Times New Roman"/>
          <w:sz w:val="20"/>
          <w:szCs w:val="20"/>
          <w:color w:val="auto"/>
        </w:rPr>
        <w:t xml:space="preserve">is consummated within 90 days after the Borrower or such Subsidiary acquires or completes the construction of such fixed or capital asset. 6.7 </w:t>
      </w:r>
      <w:r>
        <w:rPr>
          <w:rFonts w:ascii="Times New Roman" w:cs="Times New Roman" w:eastAsia="Times New Roman" w:hAnsi="Times New Roman"/>
          <w:sz w:val="20"/>
          <w:szCs w:val="20"/>
          <w:u w:val="single" w:color="auto"/>
          <w:color w:val="auto"/>
        </w:rPr>
        <w:t>Swap Agreements</w:t>
      </w:r>
      <w:r>
        <w:rPr>
          <w:rFonts w:ascii="Times New Roman" w:cs="Times New Roman" w:eastAsia="Times New Roman" w:hAnsi="Times New Roman"/>
          <w:sz w:val="20"/>
          <w:szCs w:val="20"/>
          <w:color w:val="auto"/>
        </w:rPr>
        <w:t>. No Loan Party will, nor will it permit any Subsidiary to, enter into any Swap Agreement, except (a) Swap</w:t>
      </w:r>
    </w:p>
    <w:p>
      <w:pPr>
        <w:spacing w:after="0" w:line="211" w:lineRule="auto"/>
        <w:rPr>
          <w:sz w:val="20"/>
          <w:szCs w:val="20"/>
          <w:color w:val="auto"/>
        </w:rPr>
      </w:pPr>
      <w:r>
        <w:rPr>
          <w:rFonts w:ascii="Times New Roman" w:cs="Times New Roman" w:eastAsia="Times New Roman" w:hAnsi="Times New Roman"/>
          <w:sz w:val="20"/>
          <w:szCs w:val="20"/>
          <w:color w:val="auto"/>
        </w:rPr>
        <w:t>Agreements entered into to hedge or mitigate risks to which the Borrower or any Subsidiary has actual or reasonably anticipated exposure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(other than those in respect of Equity Interests of the Borrower or any Subsidiary), and (b) Swap Agreements entered into in order to effectively cap, collar or exchange interest rates (from floating to fixed rates, from one floating rate to another floating rate or otherwise) with</w:t>
      </w:r>
    </w:p>
    <w:p>
      <w:pPr>
        <w:ind w:right="20"/>
        <w:spacing w:after="0" w:line="204" w:lineRule="auto"/>
        <w:rPr>
          <w:sz w:val="20"/>
          <w:szCs w:val="20"/>
          <w:color w:val="auto"/>
        </w:rPr>
      </w:pPr>
      <w:r>
        <w:rPr>
          <w:rFonts w:ascii="Times New Roman" w:cs="Times New Roman" w:eastAsia="Times New Roman" w:hAnsi="Times New Roman"/>
          <w:sz w:val="20"/>
          <w:szCs w:val="20"/>
          <w:color w:val="auto"/>
        </w:rPr>
        <w:t>respect to any interest-bearing liability or investment of the Borrower or any Subsidiary or to hedge against fluctuations in currency exchange rates.</w:t>
      </w:r>
    </w:p>
    <w:p>
      <w:pPr>
        <w:ind w:left="660"/>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19"/>
          <w:szCs w:val="19"/>
          <w:u w:val="single" w:color="auto"/>
          <w:color w:val="auto"/>
        </w:rPr>
        <w:t>Restricted Payments; Payments of Subordinated Indebtedness</w:t>
      </w:r>
      <w:r>
        <w:rPr>
          <w:rFonts w:ascii="Times New Roman" w:cs="Times New Roman" w:eastAsia="Times New Roman" w:hAnsi="Times New Roman"/>
          <w:sz w:val="19"/>
          <w:szCs w:val="19"/>
          <w:color w:val="auto"/>
        </w:rPr>
        <w:t>.</w:t>
      </w:r>
    </w:p>
    <w:p>
      <w:pPr>
        <w:ind w:firstLine="656"/>
        <w:spacing w:after="0" w:line="228" w:lineRule="auto"/>
        <w:tabs>
          <w:tab w:leader="none" w:pos="1286"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Loan Party will, nor will it permit any Subsidiary to, declare or make, or agree to declare or make, directly or indirectly, any Restricted Payment, or incur any obligation (contingent or otherwise) to do so, except:</w:t>
      </w:r>
    </w:p>
    <w:p>
      <w:pPr>
        <w:spacing w:after="0" w:line="148" w:lineRule="exact"/>
        <w:rPr>
          <w:rFonts w:ascii="Times New Roman" w:cs="Times New Roman" w:eastAsia="Times New Roman" w:hAnsi="Times New Roman"/>
          <w:sz w:val="20"/>
          <w:szCs w:val="20"/>
          <w:color w:val="010000"/>
        </w:rPr>
      </w:pPr>
    </w:p>
    <w:p>
      <w:pPr>
        <w:jc w:val="both"/>
        <w:ind w:left="660" w:firstLine="644"/>
        <w:spacing w:after="0" w:line="230" w:lineRule="auto"/>
        <w:tabs>
          <w:tab w:leader="none" w:pos="1954"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may declare and pay dividends with respect to its common stock payable solely in additional shares of its common stock, and, with respect to its preferred stock, payable solely in additional shares of such preferred stock or in shares of its common stock;</w:t>
      </w:r>
    </w:p>
    <w:p>
      <w:pPr>
        <w:spacing w:after="0" w:line="148"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Subsidiaries may declare and pay dividends ratably with respect to their Equity Interests;</w:t>
      </w:r>
    </w:p>
    <w:p>
      <w:pPr>
        <w:spacing w:after="0" w:line="188" w:lineRule="exact"/>
        <w:rPr>
          <w:rFonts w:ascii="Times New Roman" w:cs="Times New Roman" w:eastAsia="Times New Roman" w:hAnsi="Times New Roman"/>
          <w:sz w:val="20"/>
          <w:szCs w:val="20"/>
          <w:color w:val="010000"/>
        </w:rPr>
      </w:pPr>
    </w:p>
    <w:p>
      <w:pPr>
        <w:jc w:val="both"/>
        <w:ind w:left="660" w:firstLine="644"/>
        <w:spacing w:after="0" w:line="215" w:lineRule="auto"/>
        <w:tabs>
          <w:tab w:leader="none" w:pos="1956"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 Parties and their Subsidiaries may (A) so long as no Event of Default has occurred and is continuing, repurchase Equity Interests from employees, officers or directors upon death, disability, retirement or termination of employment, where such repurchases are made pursuant to and in accordance with stock option plans or other benefit plans for management or employees of the Loan Parties, and (B) repurchase Equity Interests from employees, officers or directors (in circumstances other than contemplated in the immediately preceding subclause (A)), where such repurchases are made pursuant to and in accordance with stock option plans or other benefit plans for management or employees of the Loan Parties; provided that the net cash outlay of the Loan Parties and their Subsidiaries in connection with repurchase events under this subclause (B) shall not exceed $15,000,000 during any fiscal year of the Borrower;</w:t>
      </w:r>
    </w:p>
    <w:p>
      <w:pPr>
        <w:spacing w:after="0" w:line="147" w:lineRule="exact"/>
        <w:rPr>
          <w:rFonts w:ascii="Times New Roman" w:cs="Times New Roman" w:eastAsia="Times New Roman" w:hAnsi="Times New Roman"/>
          <w:sz w:val="20"/>
          <w:szCs w:val="20"/>
          <w:color w:val="010000"/>
        </w:rPr>
      </w:pPr>
    </w:p>
    <w:p>
      <w:pPr>
        <w:jc w:val="both"/>
        <w:ind w:left="660" w:firstLine="644"/>
        <w:spacing w:after="0" w:line="220" w:lineRule="auto"/>
        <w:tabs>
          <w:tab w:leader="none" w:pos="1945"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may make other Restricted Payments so long as both before and immediately after giving effect thereto, (x) no Default or Event of Default then exists or would result therefrom and (y) the Net Leverage Ratio shall not exceed 2.50 to 1.00, determined on a pro forma basis as of the last day of the most recently completed fiscal quarter for which financial statements have been delivered pursuant to Section 5.01(a) or 5.01(b) and giving effect to any Indebtedness incurred in connection therewith.</w:t>
      </w:r>
    </w:p>
    <w:p>
      <w:pPr>
        <w:spacing w:after="0" w:line="160" w:lineRule="exact"/>
        <w:rPr>
          <w:rFonts w:ascii="Times New Roman" w:cs="Times New Roman" w:eastAsia="Times New Roman" w:hAnsi="Times New Roman"/>
          <w:sz w:val="20"/>
          <w:szCs w:val="20"/>
          <w:color w:val="010000"/>
        </w:rPr>
      </w:pPr>
    </w:p>
    <w:p>
      <w:pPr>
        <w:jc w:val="both"/>
        <w:ind w:firstLine="656"/>
        <w:spacing w:after="0" w:line="218" w:lineRule="auto"/>
        <w:tabs>
          <w:tab w:leader="none" w:pos="1284"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Loan Party will, nor will it permit any Subsidiary to, make or agree to pay or make, directly or indirectly, any payment or other distribution (whether in cash, securities or other property) of or in respect of principal of or interest on any Subordinated Indebtedness, or any payment or other distribution (whether in cash, securities or other property), including any sinking fund or similar deposit, on account of the purchase, redemption, retirement, acquisition, cancellation or termination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Subordinated Indebtedness, except payments not otherwise prohibited under the agreements governing such Subordinated Indebtedness</w:t>
      </w:r>
    </w:p>
    <w:p>
      <w:pPr>
        <w:spacing w:after="0" w:line="221" w:lineRule="auto"/>
        <w:rPr>
          <w:sz w:val="20"/>
          <w:szCs w:val="20"/>
          <w:color w:val="auto"/>
        </w:rPr>
      </w:pPr>
      <w:r>
        <w:rPr>
          <w:rFonts w:ascii="Times New Roman" w:cs="Times New Roman" w:eastAsia="Times New Roman" w:hAnsi="Times New Roman"/>
          <w:sz w:val="20"/>
          <w:szCs w:val="20"/>
          <w:color w:val="auto"/>
        </w:rPr>
        <w:t>(which have been approved by the Administrative Agent) and any intercreditor or subordination agreements in favor of the Administrative Agent related thereto.</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No Loan Party will, nor will it permit any Subsidiary to, sell, lease or otherwise transfer any</w:t>
      </w:r>
    </w:p>
    <w:p>
      <w:pPr>
        <w:spacing w:after="0" w:line="215" w:lineRule="auto"/>
        <w:rPr>
          <w:sz w:val="20"/>
          <w:szCs w:val="20"/>
          <w:color w:val="auto"/>
        </w:rPr>
      </w:pPr>
      <w:r>
        <w:rPr>
          <w:rFonts w:ascii="Times New Roman" w:cs="Times New Roman" w:eastAsia="Times New Roman" w:hAnsi="Times New Roman"/>
          <w:sz w:val="19"/>
          <w:szCs w:val="19"/>
          <w:color w:val="auto"/>
        </w:rPr>
        <w:t>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w:t>
      </w:r>
    </w:p>
    <w:p>
      <w:pPr>
        <w:spacing w:after="0" w:line="211" w:lineRule="auto"/>
        <w:rPr>
          <w:sz w:val="20"/>
          <w:szCs w:val="20"/>
          <w:color w:val="auto"/>
        </w:rPr>
      </w:pPr>
      <w:r>
        <w:rPr>
          <w:rFonts w:ascii="Times New Roman" w:cs="Times New Roman" w:eastAsia="Times New Roman" w:hAnsi="Times New Roman"/>
          <w:sz w:val="20"/>
          <w:szCs w:val="20"/>
          <w:color w:val="auto"/>
        </w:rPr>
        <w:t>less favorable to such Loan Party or such Subsidiary than could be obtained on an arm’s-length basis from unrelated third parties, (b)</w:t>
      </w:r>
    </w:p>
    <w:p>
      <w:pPr>
        <w:spacing w:after="0" w:line="215" w:lineRule="auto"/>
        <w:rPr>
          <w:sz w:val="20"/>
          <w:szCs w:val="20"/>
          <w:color w:val="auto"/>
        </w:rPr>
      </w:pPr>
      <w:r>
        <w:rPr>
          <w:rFonts w:ascii="Times New Roman" w:cs="Times New Roman" w:eastAsia="Times New Roman" w:hAnsi="Times New Roman"/>
          <w:sz w:val="19"/>
          <w:szCs w:val="19"/>
          <w:color w:val="auto"/>
        </w:rPr>
        <w:t>transactions between or among the Borrower and any Subsidiaries not involving any other Affiliate, (c) any investment permitted by Section 6.04, (d) any Indebtedness permitted under Section 6.01(c), (e) any Restricted Payment permitted by Section 6.08, (f) loans or advances to</w:t>
      </w:r>
    </w:p>
    <w:p>
      <w:pPr>
        <w:spacing w:after="0" w:line="211" w:lineRule="auto"/>
        <w:rPr>
          <w:sz w:val="20"/>
          <w:szCs w:val="20"/>
          <w:color w:val="auto"/>
        </w:rPr>
      </w:pPr>
      <w:r>
        <w:rPr>
          <w:rFonts w:ascii="Times New Roman" w:cs="Times New Roman" w:eastAsia="Times New Roman" w:hAnsi="Times New Roman"/>
          <w:sz w:val="20"/>
          <w:szCs w:val="20"/>
          <w:color w:val="auto"/>
        </w:rPr>
        <w:t>employees permitted under Section 6.04(f), (g) the payment of reasonable fees to directors of the Borrower or any Subsidiary who are not</w:t>
      </w:r>
    </w:p>
    <w:p>
      <w:pPr>
        <w:spacing w:after="0" w:line="204" w:lineRule="auto"/>
        <w:rPr>
          <w:sz w:val="20"/>
          <w:szCs w:val="20"/>
          <w:color w:val="auto"/>
        </w:rPr>
      </w:pPr>
      <w:r>
        <w:rPr>
          <w:rFonts w:ascii="Times New Roman" w:cs="Times New Roman" w:eastAsia="Times New Roman" w:hAnsi="Times New Roman"/>
          <w:sz w:val="20"/>
          <w:szCs w:val="20"/>
          <w:color w:val="auto"/>
        </w:rPr>
        <w:t>employees of the Borrower or any Subsidiary, and compensation and employee benefit arrangements paid to, and indemnities provided for the benefit of, directors, officers or employees of the Borrower or its Subsidiaries in the ordinary course of business, (h) any issuances of</w:t>
      </w:r>
    </w:p>
    <w:p>
      <w:pPr>
        <w:spacing w:after="0" w:line="211" w:lineRule="auto"/>
        <w:rPr>
          <w:sz w:val="20"/>
          <w:szCs w:val="20"/>
          <w:color w:val="auto"/>
        </w:rPr>
      </w:pPr>
      <w:r>
        <w:rPr>
          <w:rFonts w:ascii="Times New Roman" w:cs="Times New Roman" w:eastAsia="Times New Roman" w:hAnsi="Times New Roman"/>
          <w:sz w:val="20"/>
          <w:szCs w:val="20"/>
          <w:color w:val="auto"/>
        </w:rPr>
        <w:t>securities or other payments, awards or grants in cash, securities or otherwise pursuant to, or the funding of, employment agreements, stock</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options and stock ownership plans approved by the Borrower’s board of directors and (i) director, officer and employee compensation (including bonus) and other benefits (including retirement, health, stock option and other benefit plans), severance and indemnification</w:t>
      </w:r>
    </w:p>
    <w:p>
      <w:pPr>
        <w:spacing w:after="0" w:line="211" w:lineRule="auto"/>
        <w:rPr>
          <w:sz w:val="20"/>
          <w:szCs w:val="20"/>
          <w:color w:val="auto"/>
        </w:rPr>
      </w:pPr>
      <w:r>
        <w:rPr>
          <w:rFonts w:ascii="Times New Roman" w:cs="Times New Roman" w:eastAsia="Times New Roman" w:hAnsi="Times New Roman"/>
          <w:sz w:val="20"/>
          <w:szCs w:val="20"/>
          <w:color w:val="auto"/>
        </w:rPr>
        <w:t>arrangements.</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u w:val="single" w:color="auto"/>
          <w:color w:val="auto"/>
        </w:rPr>
        <w:t>Restrictive Agreements</w:t>
      </w:r>
      <w:r>
        <w:rPr>
          <w:rFonts w:ascii="Times New Roman" w:cs="Times New Roman" w:eastAsia="Times New Roman" w:hAnsi="Times New Roman"/>
          <w:sz w:val="20"/>
          <w:szCs w:val="20"/>
          <w:color w:val="auto"/>
        </w:rPr>
        <w:t>. No Loan Party will, nor will it permit any Subsidiary to, directly or indirectly enter into, incur or permit to exist any agreement or other arrangement that prohibits, restricts or imposes any condition upon (a) the ability of such Loan Party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 any Subsidiary to create, incur or permit to exist any Lien upon any of its property or assets that secures the Secured Obligations, or (b) the ability of any Subsidiary to pay dividends or other distributions with respect to any Equity Interests or to make or repay loans or advances to</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Borrower or any other Subsidiary or to Guarantee Indebtedness of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foregoing</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shall not apply to restrictions and conditions imposed by any applicable law or by any Loan Document, (ii) the foregoing shall not apply to restrictions and conditions existing on the date hereof identified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xml:space="preserve"> (but shall apply to any extension or renewal of, or any</w:t>
      </w:r>
    </w:p>
    <w:p>
      <w:pPr>
        <w:spacing w:after="0" w:line="211" w:lineRule="auto"/>
        <w:rPr>
          <w:sz w:val="20"/>
          <w:szCs w:val="20"/>
          <w:color w:val="auto"/>
        </w:rPr>
      </w:pPr>
      <w:r>
        <w:rPr>
          <w:rFonts w:ascii="Times New Roman" w:cs="Times New Roman" w:eastAsia="Times New Roman" w:hAnsi="Times New Roman"/>
          <w:sz w:val="20"/>
          <w:szCs w:val="20"/>
          <w:color w:val="auto"/>
        </w:rPr>
        <w:t>amendment or modification expanding the scope of, any such restriction or condition), (iii) the foregoing shall not apply to customary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restrictions and conditions contained in agreements relating to the sale of assets or a Subsidiary pending such sale, provided such restrictions and conditions apply only to such assets or the Subsidiary that is to be sold and such sale is permitted hereunder, (iv) clause (a) of the</w:t>
      </w:r>
    </w:p>
    <w:p>
      <w:pPr>
        <w:spacing w:after="0" w:line="211" w:lineRule="auto"/>
        <w:rPr>
          <w:sz w:val="20"/>
          <w:szCs w:val="20"/>
          <w:color w:val="auto"/>
        </w:rPr>
      </w:pPr>
      <w:r>
        <w:rPr>
          <w:rFonts w:ascii="Times New Roman" w:cs="Times New Roman" w:eastAsia="Times New Roman" w:hAnsi="Times New Roman"/>
          <w:sz w:val="20"/>
          <w:szCs w:val="20"/>
          <w:color w:val="auto"/>
        </w:rPr>
        <w:t>foregoing shall not apply to restrictions or conditions imposed by any agreement relating to secured Indebtedness permitted by this</w:t>
      </w:r>
    </w:p>
    <w:p>
      <w:pPr>
        <w:spacing w:after="0" w:line="204" w:lineRule="auto"/>
        <w:rPr>
          <w:sz w:val="20"/>
          <w:szCs w:val="20"/>
          <w:color w:val="auto"/>
        </w:rPr>
      </w:pPr>
      <w:r>
        <w:rPr>
          <w:rFonts w:ascii="Times New Roman" w:cs="Times New Roman" w:eastAsia="Times New Roman" w:hAnsi="Times New Roman"/>
          <w:sz w:val="20"/>
          <w:szCs w:val="20"/>
          <w:color w:val="auto"/>
        </w:rPr>
        <w:t>Agreement if such restrictions or conditions apply only to the property or assets securing such Indebtedness, (v) clause (a) of the foregoing shall not apply to customary provisions in leases and other contracts restricting the assignment thereof, (vi) clause (a) of the foregoing shall</w:t>
      </w:r>
    </w:p>
    <w:p>
      <w:pPr>
        <w:spacing w:after="0" w:line="223" w:lineRule="auto"/>
        <w:rPr>
          <w:sz w:val="20"/>
          <w:szCs w:val="20"/>
          <w:color w:val="auto"/>
        </w:rPr>
      </w:pPr>
      <w:r>
        <w:rPr>
          <w:rFonts w:ascii="Times New Roman" w:cs="Times New Roman" w:eastAsia="Times New Roman" w:hAnsi="Times New Roman"/>
          <w:sz w:val="19"/>
          <w:szCs w:val="19"/>
          <w:color w:val="auto"/>
        </w:rPr>
        <w:t>not apply to customary restrictions in licenses, (vii) the foregoing shall not apply to customary provisions in the organizational documents of</w:t>
      </w:r>
    </w:p>
    <w:p>
      <w:pPr>
        <w:spacing w:after="0" w:line="215" w:lineRule="auto"/>
        <w:rPr>
          <w:sz w:val="20"/>
          <w:szCs w:val="20"/>
          <w:color w:val="auto"/>
        </w:rPr>
      </w:pPr>
      <w:r>
        <w:rPr>
          <w:rFonts w:ascii="Times New Roman" w:cs="Times New Roman" w:eastAsia="Times New Roman" w:hAnsi="Times New Roman"/>
          <w:sz w:val="19"/>
          <w:szCs w:val="19"/>
          <w:color w:val="auto"/>
        </w:rPr>
        <w:t>a Person (including in any joint venture) or asset sale or stock sale agreements or similar agreements which restrict the transfer of ownership of a Person, (viii) the foregoing shall not apply to any agreement in effect at the time a Person becomes a Subsidiary of the Borrower</w:t>
      </w:r>
    </w:p>
    <w:p>
      <w:pPr>
        <w:spacing w:after="0" w:line="222" w:lineRule="auto"/>
        <w:rPr>
          <w:sz w:val="20"/>
          <w:szCs w:val="20"/>
          <w:color w:val="auto"/>
        </w:rPr>
      </w:pPr>
      <w:r>
        <w:rPr>
          <w:rFonts w:ascii="Times New Roman" w:cs="Times New Roman" w:eastAsia="Times New Roman" w:hAnsi="Times New Roman"/>
          <w:sz w:val="19"/>
          <w:szCs w:val="19"/>
          <w:color w:val="auto"/>
        </w:rPr>
        <w:t>(including any amendments thereto that are not otherwise prohibited by the Loan Documents and that are no more materially restrictive with</w:t>
      </w:r>
    </w:p>
    <w:p>
      <w:pPr>
        <w:spacing w:after="0" w:line="215" w:lineRule="auto"/>
        <w:rPr>
          <w:sz w:val="20"/>
          <w:szCs w:val="20"/>
          <w:color w:val="auto"/>
        </w:rPr>
      </w:pPr>
      <w:r>
        <w:rPr>
          <w:rFonts w:ascii="Times New Roman" w:cs="Times New Roman" w:eastAsia="Times New Roman" w:hAnsi="Times New Roman"/>
          <w:sz w:val="19"/>
          <w:szCs w:val="19"/>
          <w:color w:val="auto"/>
        </w:rPr>
        <w:t>respect to such encumbrances and restrictions than those prior to such amendment or refinancing), so long as such agreement was not entered into in connection with or in contemplation of such person becoming a Subsidiary of Borrower and imposes restrictions only on such Person</w:t>
      </w:r>
    </w:p>
    <w:p>
      <w:pPr>
        <w:spacing w:after="0" w:line="211" w:lineRule="auto"/>
        <w:rPr>
          <w:sz w:val="20"/>
          <w:szCs w:val="20"/>
          <w:color w:val="auto"/>
        </w:rPr>
      </w:pPr>
      <w:r>
        <w:rPr>
          <w:rFonts w:ascii="Times New Roman" w:cs="Times New Roman" w:eastAsia="Times New Roman" w:hAnsi="Times New Roman"/>
          <w:sz w:val="20"/>
          <w:szCs w:val="20"/>
          <w:color w:val="auto"/>
        </w:rPr>
        <w:t>and its assets, (ix) the foregoing shall not apply to customary restrictions or conditions pursuant to any Indebtedness incurred pursuant to</w:t>
      </w:r>
    </w:p>
    <w:p>
      <w:pPr>
        <w:spacing w:after="0" w:line="204" w:lineRule="auto"/>
        <w:rPr>
          <w:sz w:val="20"/>
          <w:szCs w:val="20"/>
          <w:color w:val="auto"/>
        </w:rPr>
      </w:pPr>
      <w:r>
        <w:rPr>
          <w:rFonts w:ascii="Times New Roman" w:cs="Times New Roman" w:eastAsia="Times New Roman" w:hAnsi="Times New Roman"/>
          <w:sz w:val="20"/>
          <w:szCs w:val="20"/>
          <w:color w:val="auto"/>
        </w:rPr>
        <w:t>Section 6.01(q) and (x) clause (a) of the foregoing shall not apply with respect to Factoring Assets subject to any Permitted Factoring Transaction.</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20"/>
          <w:szCs w:val="20"/>
          <w:u w:val="single" w:color="auto"/>
          <w:color w:val="auto"/>
        </w:rPr>
        <w:t>Amendment of Material Documents</w:t>
      </w:r>
      <w:r>
        <w:rPr>
          <w:rFonts w:ascii="Times New Roman" w:cs="Times New Roman" w:eastAsia="Times New Roman" w:hAnsi="Times New Roman"/>
          <w:sz w:val="20"/>
          <w:szCs w:val="20"/>
          <w:color w:val="auto"/>
        </w:rPr>
        <w:t>. No Loan Party will, nor will it permit any Subsidiary to, amend, modify or waive any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of its rights under (a) any agreement relating to any Subordinated Indebtedness, or (b) its charter, articles or certificate of organization or incorporation and bylaws or operating, management or partnership agreement, or other organizational or governing documents, in each case,</w:t>
      </w:r>
    </w:p>
    <w:p>
      <w:pPr>
        <w:spacing w:after="0" w:line="204" w:lineRule="auto"/>
        <w:rPr>
          <w:sz w:val="20"/>
          <w:szCs w:val="20"/>
          <w:color w:val="auto"/>
        </w:rPr>
      </w:pPr>
      <w:r>
        <w:rPr>
          <w:rFonts w:ascii="Times New Roman" w:cs="Times New Roman" w:eastAsia="Times New Roman" w:hAnsi="Times New Roman"/>
          <w:sz w:val="20"/>
          <w:szCs w:val="20"/>
          <w:color w:val="auto"/>
        </w:rPr>
        <w:t>to the extent any such amendment, modification or waiver would be materially adverse to the Lenders (as reasonably determined by the Administrative Agent).</w:t>
      </w:r>
    </w:p>
    <w:p>
      <w:pPr>
        <w:spacing w:after="0" w:line="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6.12</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76" w:lineRule="exact"/>
        <w:rPr>
          <w:sz w:val="20"/>
          <w:szCs w:val="20"/>
          <w:color w:val="auto"/>
        </w:rPr>
      </w:pPr>
    </w:p>
    <w:p>
      <w:pPr>
        <w:jc w:val="both"/>
        <w:ind w:firstLine="656"/>
        <w:spacing w:after="0" w:line="215" w:lineRule="auto"/>
        <w:tabs>
          <w:tab w:leader="none" w:pos="1286"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Net Leverage Ratio</w:t>
      </w:r>
      <w:r>
        <w:rPr>
          <w:rFonts w:ascii="Times New Roman" w:cs="Times New Roman" w:eastAsia="Times New Roman" w:hAnsi="Times New Roman"/>
          <w:sz w:val="20"/>
          <w:szCs w:val="20"/>
          <w:color w:val="auto"/>
        </w:rPr>
        <w:t xml:space="preserve">. The Borrower will not permit the Net Leverage Ratio, on the last day of any fiscal quarter ending on or after September 30, 2026, to be greater than 3.00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a Permitted Acquisition for which the aggregate consideration in respect thereof exceeds $75,000,000, the Borrower may elect to increase the maximum Net Leverage Ratio to 3.50 to 1.00 for a period of four consecutive fiscal quarters commencing with the fiscal quarter in which such Acquisition occurs (any such election in respect of the maximum Net Leverage Ratio being referred to as the “</w:t>
      </w:r>
      <w:r>
        <w:rPr>
          <w:rFonts w:ascii="Times New Roman" w:cs="Times New Roman" w:eastAsia="Times New Roman" w:hAnsi="Times New Roman"/>
          <w:sz w:val="20"/>
          <w:szCs w:val="20"/>
          <w:u w:val="single" w:color="auto"/>
          <w:color w:val="auto"/>
        </w:rPr>
        <w:t>Acquisition Holiday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following the Borrower’s election to utilize an Acquisition Holiday, the Borrower shall not be permitted to request an additional Acquisition Holiday unless a period of at least two consecutive fiscal quarters shall have passed since the last day of the prior Acquisition Holiday.</w:t>
      </w:r>
    </w:p>
    <w:p>
      <w:pPr>
        <w:spacing w:after="0" w:line="164" w:lineRule="exact"/>
        <w:rPr>
          <w:rFonts w:ascii="Times New Roman" w:cs="Times New Roman" w:eastAsia="Times New Roman" w:hAnsi="Times New Roman"/>
          <w:sz w:val="20"/>
          <w:szCs w:val="20"/>
          <w:color w:val="010000"/>
        </w:rPr>
      </w:pPr>
    </w:p>
    <w:p>
      <w:pPr>
        <w:ind w:firstLine="656"/>
        <w:spacing w:after="0" w:line="233" w:lineRule="auto"/>
        <w:tabs>
          <w:tab w:leader="none" w:pos="1284"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The Borrower will not permit the Interest Coverage Ratio, for any period of four consecutive fiscal quarters ending on the last day of any fiscal quarter ending on or after September 30, 2026, to be less than 3.00 to 1.00.</w:t>
      </w:r>
    </w:p>
    <w:p>
      <w:pPr>
        <w:spacing w:after="0" w:line="29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color w:val="010000"/>
        </w:rPr>
        <w:t>7.</w:t>
      </w:r>
    </w:p>
    <w:p>
      <w:pPr>
        <w:spacing w:after="0" w:line="2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of the following events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shall occur:</w:t>
      </w:r>
    </w:p>
    <w:p>
      <w:pPr>
        <w:spacing w:after="0" w:line="216" w:lineRule="exact"/>
        <w:rPr>
          <w:sz w:val="20"/>
          <w:szCs w:val="20"/>
          <w:color w:val="auto"/>
        </w:rPr>
      </w:pPr>
    </w:p>
    <w:p>
      <w:pPr>
        <w:jc w:val="both"/>
        <w:ind w:right="20" w:firstLine="656"/>
        <w:spacing w:after="0" w:line="226" w:lineRule="auto"/>
        <w:tabs>
          <w:tab w:leader="none" w:pos="1286" w:val="left"/>
        </w:tabs>
        <w:numPr>
          <w:ilvl w:val="1"/>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shall fail to pay any principal of any Loan or any reimbursement obligation in respect of any LC Disbursement and in the Agreed Currency required hereunder when and as the same shall become due and payable, whether at the due date thereof or at a date fixed for prepayment thereof or otherwise;</w:t>
      </w:r>
    </w:p>
    <w:p>
      <w:pPr>
        <w:spacing w:after="0" w:line="160"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84" w:val="left"/>
        </w:tabs>
        <w:numPr>
          <w:ilvl w:val="1"/>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shall fail to pay any interest on any Loan or any fee or any other amount (other than an amount referred to in clause (a) of this Article) payable under this Agreement or any other Loan Document, when and as the same shall become due and payable in the Agreed Currency required hereunder, and such failure shall continue unremedied for a period of five (5) Business Days;</w:t>
      </w:r>
    </w:p>
    <w:p>
      <w:pPr>
        <w:spacing w:after="0" w:line="146"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6" w:val="left"/>
        </w:tabs>
        <w:numPr>
          <w:ilvl w:val="1"/>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representation or warranty made or deemed made by or on behalf of any Loan Party or any Subsidiary in this Agreement or any other Loan Document or any amendment or modification hereof or thereof or waiver hereunder or thereunder, or in any report or certificate furnished pursuant to this Agreement or any other Loan Document or any amendment or modification hereof or thereof or waiver hereunder or thereunder, shall prove to have been materially incorrect when made or deemed made;</w:t>
      </w:r>
    </w:p>
    <w:p>
      <w:pPr>
        <w:spacing w:after="0" w:line="161" w:lineRule="exact"/>
        <w:rPr>
          <w:rFonts w:ascii="Times New Roman" w:cs="Times New Roman" w:eastAsia="Times New Roman" w:hAnsi="Times New Roman"/>
          <w:sz w:val="20"/>
          <w:szCs w:val="20"/>
          <w:color w:val="010000"/>
        </w:rPr>
      </w:pPr>
    </w:p>
    <w:p>
      <w:pPr>
        <w:ind w:firstLine="656"/>
        <w:spacing w:after="0"/>
        <w:tabs>
          <w:tab w:leader="none" w:pos="1284" w:val="left"/>
        </w:tabs>
        <w:numPr>
          <w:ilvl w:val="1"/>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Loan Party shall fail to observe or perform any covenant, condition or agreement contained in Section 5.02(a), 5.03 (with respect to a Loan Party’s existence), 5.08, 5.12, 5.13 or 5.14, or in Article VI or Article X;</w:t>
      </w:r>
    </w:p>
    <w:p>
      <w:pPr>
        <w:spacing w:after="0" w:line="147"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6" w:val="left"/>
        </w:tabs>
        <w:numPr>
          <w:ilvl w:val="1"/>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Loan Party shall fail to observe or perform any covenant, condition or agreement contained in this Agreement (other than those specified in another Section of this Article), and such failure shall continue unremedied for a period of thirty (30) days after the earlier of any Loan Party’s knowledge of such breach or notice thereof from the Administrative Agent (which notice will be given at the request of any Lender);</w:t>
      </w:r>
    </w:p>
    <w:p>
      <w:pPr>
        <w:spacing w:after="0" w:line="161"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91" w:val="left"/>
        </w:tabs>
        <w:numPr>
          <w:ilvl w:val="1"/>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Loan Party or any Subsidiary shall fail to make any payment (whether of principal or interest and regardless of amount) in respect of any Material Indebtedness, when and as the same shall become due and payable and not cured within any stated grace period therefor;</w:t>
      </w:r>
    </w:p>
    <w:p>
      <w:pPr>
        <w:spacing w:after="0" w:line="154"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1"/>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event or condition occurs (x) that results in any Material Indebtedness becoming due prior to its scheduled maturity or</w:t>
      </w:r>
    </w:p>
    <w:p>
      <w:pPr>
        <w:jc w:val="both"/>
        <w:ind w:firstLine="8"/>
        <w:spacing w:after="0" w:line="218" w:lineRule="auto"/>
        <w:tabs>
          <w:tab w:leader="none" w:pos="29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enables or permits (with or without the giving of notice, the lapse of time or both, but giving effect to any stated grace periods set forth in such Material Indebtedness) the holder or holders of any Material Indebtedness or any trustee or agent on its or their behalf to cause any Material Indebtedness to become due, or to require the prepayment, repurchase, redemption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defeasance thereof, prior to its scheduled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this clause (g) shall not apply to secured Indebtedness that becomes due</w:t>
      </w:r>
    </w:p>
    <w:p>
      <w:pPr>
        <w:jc w:val="both"/>
        <w:spacing w:after="0" w:line="215" w:lineRule="auto"/>
        <w:rPr>
          <w:sz w:val="20"/>
          <w:szCs w:val="20"/>
          <w:color w:val="auto"/>
        </w:rPr>
      </w:pPr>
      <w:r>
        <w:rPr>
          <w:rFonts w:ascii="Times New Roman" w:cs="Times New Roman" w:eastAsia="Times New Roman" w:hAnsi="Times New Roman"/>
          <w:sz w:val="19"/>
          <w:szCs w:val="19"/>
          <w:color w:val="auto"/>
        </w:rPr>
        <w:t>as a result of the voluntary sale or transfer of the property or assets securing such Indebtedness to the extent such sale or transfer is permitted by the terms of Section 6.05 and (ii) clause (g)(y) shall not apply with respect to any Material Indebtedness consisting of Swap Agreements,</w:t>
      </w:r>
    </w:p>
    <w:p>
      <w:pPr>
        <w:spacing w:after="0" w:line="228" w:lineRule="auto"/>
        <w:rPr>
          <w:sz w:val="20"/>
          <w:szCs w:val="20"/>
          <w:color w:val="auto"/>
        </w:rPr>
      </w:pPr>
      <w:r>
        <w:rPr>
          <w:rFonts w:ascii="Times New Roman" w:cs="Times New Roman" w:eastAsia="Times New Roman" w:hAnsi="Times New Roman"/>
          <w:sz w:val="20"/>
          <w:szCs w:val="20"/>
          <w:color w:val="auto"/>
        </w:rPr>
        <w:t>termination events or equivalent events pursuant to the terms of such Swap Agreements arising solely as a result of a default, breach or other event relating to the counterparty to such Swap Agreement and not as a result of a default by the Borrower or any of its Subsidiaries;</w:t>
      </w:r>
    </w:p>
    <w:p>
      <w:pPr>
        <w:spacing w:after="0" w:line="149" w:lineRule="exact"/>
        <w:rPr>
          <w:sz w:val="20"/>
          <w:szCs w:val="20"/>
          <w:color w:val="auto"/>
        </w:rPr>
      </w:pPr>
    </w:p>
    <w:p>
      <w:pPr>
        <w:jc w:val="both"/>
        <w:ind w:firstLine="656"/>
        <w:spacing w:after="0" w:line="218" w:lineRule="auto"/>
        <w:tabs>
          <w:tab w:leader="none" w:pos="1284" w:val="left"/>
        </w:tabs>
        <w:numPr>
          <w:ilvl w:val="1"/>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a Loan Party or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Subsidiary or for a substantial part of its assets, and, in any such case, such proceeding or petition shall continue undismissed for sixty (60) days or an order or decree approving or ordering any of the foregoing shall be entered;</w:t>
      </w:r>
    </w:p>
    <w:p>
      <w:pPr>
        <w:spacing w:after="0" w:line="150" w:lineRule="exact"/>
        <w:rPr>
          <w:rFonts w:ascii="Times New Roman" w:cs="Times New Roman" w:eastAsia="Times New Roman" w:hAnsi="Times New Roman"/>
          <w:sz w:val="20"/>
          <w:szCs w:val="20"/>
          <w:color w:val="010000"/>
        </w:rPr>
      </w:pPr>
    </w:p>
    <w:p>
      <w:pPr>
        <w:jc w:val="both"/>
        <w:ind w:firstLine="656"/>
        <w:spacing w:after="0" w:line="234" w:lineRule="auto"/>
        <w:tabs>
          <w:tab w:leader="none" w:pos="1294" w:val="left"/>
        </w:tabs>
        <w:numPr>
          <w:ilvl w:val="1"/>
          <w:numId w:val="11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Loan Party or any Subsidiary shall (i) voluntarily commence any proceeding or file any petition seeking liquidation, reorganization or other relief under any federal, state or foreign bankruptcy, insolvency, receivership or similar law now or hereafter in effect,</w:t>
      </w:r>
    </w:p>
    <w:p>
      <w:pPr>
        <w:jc w:val="both"/>
        <w:ind w:firstLine="8"/>
        <w:spacing w:after="0" w:line="212" w:lineRule="auto"/>
        <w:tabs>
          <w:tab w:leader="none" w:pos="291"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to the institution of, or fail to contest in a timely and appropriate manner, any proceeding or petition described in clause (h) of this Article, (iii) apply for or consent to the appointment of a receiver, trustee, custodian, sequestrator, conservator or similar official for such Loan Party or Subsidiary of any Loan Party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63" w:lineRule="exact"/>
        <w:rPr>
          <w:rFonts w:ascii="Times New Roman" w:cs="Times New Roman" w:eastAsia="Times New Roman" w:hAnsi="Times New Roman"/>
          <w:sz w:val="20"/>
          <w:szCs w:val="20"/>
          <w:color w:val="auto"/>
        </w:rPr>
      </w:pPr>
    </w:p>
    <w:p>
      <w:pPr>
        <w:ind w:right="20" w:firstLine="656"/>
        <w:spacing w:after="0" w:line="233" w:lineRule="auto"/>
        <w:tabs>
          <w:tab w:leader="none" w:pos="1294" w:val="left"/>
        </w:tabs>
        <w:numPr>
          <w:ilvl w:val="1"/>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Loan Party or any Subsidiary shall become unable, admit in writing its inability, or publicly declare its intention not to, or fail generally, to pay its debts as they become due;</w:t>
      </w:r>
    </w:p>
    <w:p>
      <w:pPr>
        <w:spacing w:after="0" w:line="160"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84" w:val="left"/>
        </w:tabs>
        <w:numPr>
          <w:ilvl w:val="1"/>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one or more judgments for the payment of money in an aggregate amount in excess of $15,000,000 (to the extent not paid, fully bonded or covered by a solvent and unaffiliated insurer that has not denied coverage) shall be rendered against any Loan Party, any Subsidiary or any combination thereof and the same shall remain undischarged for a period of sixty (60) consecutive days during which execution shall not be effectively stayed (by reason of pending appeal or otherwise), or any action shall be legally taken by a judgment creditor to attach, levy or place a Lien upon any assets of any Loan Party or Subsidiary to enforce any such judgment and such action shall not have been stayed; or (ii) any Loan Party or Subsidiary shall fail within thirty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161" w:lineRule="exact"/>
        <w:rPr>
          <w:rFonts w:ascii="Times New Roman" w:cs="Times New Roman" w:eastAsia="Times New Roman" w:hAnsi="Times New Roman"/>
          <w:sz w:val="20"/>
          <w:szCs w:val="20"/>
          <w:color w:val="010000"/>
        </w:rPr>
      </w:pPr>
    </w:p>
    <w:p>
      <w:pPr>
        <w:ind w:right="20" w:firstLine="656"/>
        <w:spacing w:after="0"/>
        <w:tabs>
          <w:tab w:leader="none" w:pos="1294" w:val="left"/>
        </w:tabs>
        <w:numPr>
          <w:ilvl w:val="1"/>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ERISA Event shall have occurred that, when taken together with all other ERISA Events that have occurred, could reasonably be expected to result in liability of the Loan Parties and their Subsidiaries in an aggregate amount exceeding $15,000,000;</w:t>
      </w:r>
    </w:p>
    <w:p>
      <w:pPr>
        <w:spacing w:after="0" w:line="147"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1"/>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Change in Control shall occur;</w:t>
      </w:r>
    </w:p>
    <w:p>
      <w:pPr>
        <w:spacing w:after="0" w:line="188"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4" w:val="left"/>
        </w:tabs>
        <w:numPr>
          <w:ilvl w:val="1"/>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occurrence of any “default”, as defined in any Loan Document (other than this Agreement), or the breach by any Loan Party of any of the terms or provisions of any Loan Document (other than this Agreement), which default or breach continues beyond the later of (i) any period of grace therein provided or (ii) if there is no period of grace therein provided, twenty (20) days after the earlier of any Loan Party’s knowledge of such breach or notice thereof from the Administrative Agent;</w:t>
      </w:r>
    </w:p>
    <w:p>
      <w:pPr>
        <w:spacing w:after="0" w:line="161"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4" w:val="left"/>
        </w:tabs>
        <w:numPr>
          <w:ilvl w:val="1"/>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 Guaranty shall fail to remain in full force or effect (other than pursuant to the terms hereof or thereof) or any action shall be taken to discontinue or to assert the invalidity or unenforceability of the Loan Guaranty or any Loan Guarantor shall fail to comply with any of the terms or provisions of the Loan Guaranty, or any Loan Guarantor shall deny that it has any further liability under the Loan Guaranty, or shall give notice to such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76" w:lineRule="exact"/>
        <w:rPr>
          <w:sz w:val="20"/>
          <w:szCs w:val="20"/>
          <w:color w:val="auto"/>
        </w:rPr>
      </w:pPr>
    </w:p>
    <w:p>
      <w:pPr>
        <w:jc w:val="both"/>
        <w:ind w:firstLine="656"/>
        <w:spacing w:after="0" w:line="222" w:lineRule="auto"/>
        <w:tabs>
          <w:tab w:leader="none" w:pos="1284"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permitted by the terms of any Loan Document, (i) any Collateral Document shall for any reason fail to create a valid security interest in any Collateral purported to be covered thereby (other than with respect to Collateral having a book value not exceeding $4,000,000), or (ii) any Lien securing any Secured Obligation shall cease to be a perfected, first priority Lien (subject to Liens permitted under Section 6.02);</w:t>
      </w:r>
    </w:p>
    <w:p>
      <w:pPr>
        <w:spacing w:after="0" w:line="161"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84"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material provision of any Collateral Document shall fail to remain in full force or effect (other than pursuant to the terms hereof or thereof) or any action shall be taken by or on behalf of any Loan Party or its Subsidiaries to discontinue or to assert the invalidity or unenforceability of any Collateral Document; or</w:t>
      </w:r>
    </w:p>
    <w:p>
      <w:pPr>
        <w:spacing w:after="0" w:line="160"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91"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any or all of the following actions, at the same or different times: (i) terminate the Revolving Commitments, whereupon the Revolving Commitments shall terminate immediately, (ii) declare the Loans then outstanding to be due and payable in whole (or in part, but ratably as among the Loans at the time outstanding, in which case any principal not so declared to be due and payable may thereafter be declared to be due and payable), whereupon the principal of the Loans so declared to be due and payable, together with accrued interest thereon and all fees and other Secured Obligations (including, for the avoidance of doubt, any break funding payment) accrued hereunder and under the other Loan Documents, shall become due and payable immediately, in each case without presentment, demand, protest or other notice of any kind, all of which are hereby waived by the Loan Parties, (iii) require cash collateral for the LC Exposure in accordance with Section 2.06(j) hereof and (iv) exercise all other rights and remedies of the Secured Parties under the Loan Documents and applicable law; and in the case of any event with respect to the Borrower described in clause (h) or (i) of this Article, the Revolving Commitments shall automatically terminate and the principal of the Loans then outstanding and cash collateral for the LC Exposure, together with accrued interest thereon and all fees and other Secured Obligations (including, for the avoidance of doubt, any break funding payment) accrued hereunder and under the other Loan Documents, shall automatically become due and payable, and the obligation of the Borrower to cash collateralize the LC Exposure as provided in clause (iii) above shall automatically become effective, in each case without presentment, demand, protest or other notice of any kind, all of which are hereby waived by the Loan Parties.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addition to any other rights and remedies granted to the Administrative Agent and the Lenders in the Loan Documents, after the occurrence and during the continuation of an Event of Default, the Administrative Agent on behalf of the Secured Parties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Borrower on behalf of itself and its Subsidiaries), may in such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Subsidiaries. The Borrower further agrees on behalf of itself and its Subsidiaries, at the Administrative Agent’s request, to assemble the Collateral and make it available to the Administrative Agent at places which the Administrative Agent shall reasonably select, whether at the premises of the Borrower, another Loan Party or elsewhere. The Administrative Agent shall apply the net proceeds of any action taken by it pursuant to this Article VII,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such order as the Administrative Agent may elect, and only after such application and after the payment by the Administrative Agent of any other amount required by any provision of law, including Section 9-615(a)(3) of the UCC, need the Administrative Agent account for the surplus, if any, to any Loan Party. To the extent permitted by applicable law, the Borrower on behalf of itself and its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30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color w:val="010000"/>
        </w:rPr>
        <w:t>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Administrative Agent</w:t>
      </w:r>
    </w:p>
    <w:p>
      <w:pPr>
        <w:spacing w:after="0" w:line="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Authorization and Action</w:t>
      </w:r>
      <w:r>
        <w:rPr>
          <w:rFonts w:ascii="Times New Roman" w:cs="Times New Roman" w:eastAsia="Times New Roman" w:hAnsi="Times New Roman"/>
          <w:sz w:val="19"/>
          <w:szCs w:val="19"/>
          <w:color w:val="auto"/>
        </w:rPr>
        <w:t>.</w:t>
      </w:r>
    </w:p>
    <w:p>
      <w:pPr>
        <w:jc w:val="both"/>
        <w:ind w:firstLine="656"/>
        <w:spacing w:after="0" w:line="210" w:lineRule="auto"/>
        <w:tabs>
          <w:tab w:leader="none" w:pos="1286"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53"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284"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protected in so acting or refraining from acting) upon the written instructions of the Required Lenders (or such other number or percentage of</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Lenders as shall be necessary, pursuant to the terms in the Loan Documents), and, unless and until revoked in writing, such instructions shall be binding upon each Lender and each Issuing Bank; provided, however, that the Administrative Agent shall not be required to take any</w:t>
      </w:r>
    </w:p>
    <w:p>
      <w:pPr>
        <w:spacing w:after="0" w:line="211" w:lineRule="auto"/>
        <w:rPr>
          <w:sz w:val="20"/>
          <w:szCs w:val="20"/>
          <w:color w:val="auto"/>
        </w:rPr>
      </w:pPr>
      <w:r>
        <w:rPr>
          <w:rFonts w:ascii="Times New Roman" w:cs="Times New Roman" w:eastAsia="Times New Roman" w:hAnsi="Times New Roman"/>
          <w:sz w:val="20"/>
          <w:szCs w:val="20"/>
          <w:color w:val="auto"/>
        </w:rPr>
        <w:t>action that (i) the Administrative Agent in good faith believes exposes it to liability unless the Administrative Agent receives an</w:t>
      </w:r>
    </w:p>
    <w:p>
      <w:pPr>
        <w:spacing w:after="0" w:line="215" w:lineRule="auto"/>
        <w:rPr>
          <w:sz w:val="20"/>
          <w:szCs w:val="20"/>
          <w:color w:val="auto"/>
        </w:rPr>
      </w:pPr>
      <w:r>
        <w:rPr>
          <w:rFonts w:ascii="Times New Roman" w:cs="Times New Roman" w:eastAsia="Times New Roman" w:hAnsi="Times New Roman"/>
          <w:sz w:val="19"/>
          <w:szCs w:val="19"/>
          <w:color w:val="auto"/>
        </w:rPr>
        <w:t>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w:t>
      </w:r>
    </w:p>
    <w:p>
      <w:pPr>
        <w:spacing w:after="0" w:line="211" w:lineRule="auto"/>
        <w:rPr>
          <w:sz w:val="20"/>
          <w:szCs w:val="20"/>
          <w:color w:val="auto"/>
        </w:rPr>
      </w:pPr>
      <w:r>
        <w:rPr>
          <w:rFonts w:ascii="Times New Roman" w:cs="Times New Roman" w:eastAsia="Times New Roman" w:hAnsi="Times New Roman"/>
          <w:sz w:val="20"/>
          <w:szCs w:val="20"/>
          <w:color w:val="auto"/>
        </w:rPr>
        <w:t>under any requirement of law relating to bankruptcy, insolvency or reorganization or relief of debtors or that may effect a forfeiture,</w:t>
      </w:r>
    </w:p>
    <w:p>
      <w:pPr>
        <w:spacing w:after="0" w:line="204" w:lineRule="auto"/>
        <w:rPr>
          <w:sz w:val="20"/>
          <w:szCs w:val="20"/>
          <w:color w:val="auto"/>
        </w:rPr>
      </w:pPr>
      <w:r>
        <w:rPr>
          <w:rFonts w:ascii="Times New Roman" w:cs="Times New Roman" w:eastAsia="Times New Roman" w:hAnsi="Times New Roman"/>
          <w:sz w:val="20"/>
          <w:szCs w:val="20"/>
          <w:color w:val="auto"/>
        </w:rPr>
        <w:t>modification or termination of property of a Defaulting Lender in violation of any requirement of law relating to bankruptcy, insolvency or reorganization or relief of debtors; provided, further, that the Administrative Agent may seek clarification or direction from the Required</w:t>
      </w:r>
    </w:p>
    <w:p>
      <w:pPr>
        <w:spacing w:after="0" w:line="223" w:lineRule="auto"/>
        <w:rPr>
          <w:sz w:val="20"/>
          <w:szCs w:val="20"/>
          <w:color w:val="auto"/>
        </w:rPr>
      </w:pPr>
      <w:r>
        <w:rPr>
          <w:rFonts w:ascii="Times New Roman" w:cs="Times New Roman" w:eastAsia="Times New Roman" w:hAnsi="Times New Roman"/>
          <w:sz w:val="19"/>
          <w:szCs w:val="19"/>
          <w:color w:val="auto"/>
        </w:rPr>
        <w:t>Lenders prior to the exercise of any such instructed action and may refrain from acting until such clarification or direction has been provided.</w:t>
      </w:r>
    </w:p>
    <w:p>
      <w:pPr>
        <w:spacing w:after="0" w:line="215" w:lineRule="auto"/>
        <w:rPr>
          <w:sz w:val="20"/>
          <w:szCs w:val="20"/>
          <w:color w:val="auto"/>
        </w:rPr>
      </w:pPr>
      <w:r>
        <w:rPr>
          <w:rFonts w:ascii="Times New Roman" w:cs="Times New Roman" w:eastAsia="Times New Roman" w:hAnsi="Times New Roman"/>
          <w:sz w:val="19"/>
          <w:szCs w:val="19"/>
          <w:color w:val="auto"/>
        </w:rPr>
        <w:t>Except as expressly set forth in the Loan Documents, the Administrative Agent shall not have any duty to disclose, and shall not be liable for the failure to disclose, any information relating to the Borrower, any other Loan Party, any Subsidiary or any Affiliate of any of the foregoing</w:t>
      </w:r>
    </w:p>
    <w:p>
      <w:pPr>
        <w:spacing w:after="0" w:line="211" w:lineRule="auto"/>
        <w:rPr>
          <w:sz w:val="20"/>
          <w:szCs w:val="20"/>
          <w:color w:val="auto"/>
        </w:rPr>
      </w:pPr>
      <w:r>
        <w:rPr>
          <w:rFonts w:ascii="Times New Roman" w:cs="Times New Roman" w:eastAsia="Times New Roman" w:hAnsi="Times New Roman"/>
          <w:sz w:val="20"/>
          <w:szCs w:val="20"/>
          <w:color w:val="auto"/>
        </w:rPr>
        <w:t>that is communicated to or obtained by the Person serving as Administrative Agent or any of its Affiliates in any capacity. Nothing in this</w:t>
      </w:r>
    </w:p>
    <w:p>
      <w:pPr>
        <w:spacing w:after="0" w:line="204" w:lineRule="auto"/>
        <w:rPr>
          <w:sz w:val="20"/>
          <w:szCs w:val="20"/>
          <w:color w:val="auto"/>
        </w:rPr>
      </w:pPr>
      <w:r>
        <w:rPr>
          <w:rFonts w:ascii="Times New Roman" w:cs="Times New Roman" w:eastAsia="Times New Roman" w:hAnsi="Times New Roman"/>
          <w:sz w:val="20"/>
          <w:szCs w:val="20"/>
          <w:color w:val="auto"/>
        </w:rPr>
        <w:t>Agreement shall require the Administrative Agent to expend or risk its own funds or otherwise incur any financial liability in the performance of any of its duties hereunder or in the exercise of any of its rights or powers if it shall have reasonable grounds for believing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repayment of such funds or adequate indemnity against such risk or liability is not reasonably assured to it.</w:t>
      </w:r>
    </w:p>
    <w:p>
      <w:pPr>
        <w:spacing w:after="0" w:line="167" w:lineRule="exact"/>
        <w:rPr>
          <w:sz w:val="20"/>
          <w:szCs w:val="20"/>
          <w:color w:val="auto"/>
        </w:rPr>
      </w:pPr>
    </w:p>
    <w:p>
      <w:pPr>
        <w:jc w:val="both"/>
        <w:ind w:firstLine="656"/>
        <w:spacing w:after="0" w:line="218" w:lineRule="auto"/>
        <w:tabs>
          <w:tab w:leader="none" w:pos="1286"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63" w:lineRule="exact"/>
        <w:rPr>
          <w:rFonts w:ascii="Times New Roman" w:cs="Times New Roman" w:eastAsia="Times New Roman" w:hAnsi="Times New Roman"/>
          <w:sz w:val="20"/>
          <w:szCs w:val="20"/>
          <w:color w:val="010000"/>
        </w:rPr>
      </w:pPr>
    </w:p>
    <w:p>
      <w:pPr>
        <w:jc w:val="both"/>
        <w:ind w:firstLine="1304"/>
        <w:spacing w:after="0" w:line="213" w:lineRule="auto"/>
        <w:tabs>
          <w:tab w:leader="none" w:pos="1942" w:val="left"/>
        </w:tabs>
        <w:numPr>
          <w:ilvl w:val="1"/>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does not assume and shall not be deemed to have assumed any obligation or duty or any other relationship as the agent, fiduciary or trustee of or for any Lender, Issuing Bank, any other Secured Party or holder of any other Secured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spacing w:after="0" w:line="161" w:lineRule="exact"/>
        <w:rPr>
          <w:rFonts w:ascii="Times New Roman" w:cs="Times New Roman" w:eastAsia="Times New Roman" w:hAnsi="Times New Roman"/>
          <w:sz w:val="20"/>
          <w:szCs w:val="20"/>
          <w:color w:val="010000"/>
        </w:rPr>
      </w:pPr>
    </w:p>
    <w:p>
      <w:pPr>
        <w:jc w:val="both"/>
        <w:ind w:firstLine="1304"/>
        <w:spacing w:after="0" w:line="216" w:lineRule="auto"/>
        <w:tabs>
          <w:tab w:leader="none" w:pos="1943" w:val="left"/>
        </w:tabs>
        <w:numPr>
          <w:ilvl w:val="1"/>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that English law is applicable to the duties of the Administrative Agent under any of the Loan Documents, Section 1 of the Trustee Act 2000 of the United Kingdom shall not apply to the duties of the Administrative Agent in relation to the trusts constituted by that Loan Document; where there are inconsistencies between the Trustee Act 1925 or the Trustee Act 2000 of the United Kingdom and the provisions of this Agreement or such Loan Document, the provisions of this Agreement shall, to the extent permitted by applicable law, prevail and, in the case of any inconsistency with the Trustee Act 2000 of the United Kingdom, the provisions of this Agreement shall constitute a restriction or exclusion for the purposes of the Trustee Act 2000 of the United Kingdom; and</w:t>
      </w:r>
    </w:p>
    <w:p>
      <w:pPr>
        <w:spacing w:after="0" w:line="162" w:lineRule="exact"/>
        <w:rPr>
          <w:rFonts w:ascii="Times New Roman" w:cs="Times New Roman" w:eastAsia="Times New Roman" w:hAnsi="Times New Roman"/>
          <w:sz w:val="20"/>
          <w:szCs w:val="20"/>
          <w:color w:val="010000"/>
        </w:rPr>
      </w:pPr>
    </w:p>
    <w:p>
      <w:pPr>
        <w:ind w:right="20" w:firstLine="1304"/>
        <w:spacing w:after="0"/>
        <w:tabs>
          <w:tab w:leader="none" w:pos="1944" w:val="left"/>
        </w:tabs>
        <w:numPr>
          <w:ilvl w:val="1"/>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147"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284"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of their respective duties and exercise their respective rights and powers through their respective Related Parties. The exculpatory</w:t>
      </w:r>
    </w:p>
    <w:p>
      <w:pPr>
        <w:ind w:right="20"/>
        <w:spacing w:after="0" w:line="215" w:lineRule="auto"/>
        <w:rPr>
          <w:sz w:val="20"/>
          <w:szCs w:val="20"/>
          <w:color w:val="auto"/>
        </w:rPr>
      </w:pPr>
      <w:r>
        <w:rPr>
          <w:rFonts w:ascii="Times New Roman" w:cs="Times New Roman" w:eastAsia="Times New Roman" w:hAnsi="Times New Roman"/>
          <w:sz w:val="19"/>
          <w:szCs w:val="19"/>
          <w:color w:val="auto"/>
        </w:rPr>
        <w:t>provisions of this Article shall apply to any such sub-agent and to the Related Parties of the Administrative Agent and any such sub-agent, and shall apply to their respective activities pursuant to this Agreement. The Administrative Agent shall not be responsible for the negligence</w:t>
      </w:r>
    </w:p>
    <w:p>
      <w:pPr>
        <w:spacing w:after="0" w:line="228" w:lineRule="auto"/>
        <w:rPr>
          <w:sz w:val="20"/>
          <w:szCs w:val="20"/>
          <w:color w:val="auto"/>
        </w:rPr>
      </w:pPr>
      <w:r>
        <w:rPr>
          <w:rFonts w:ascii="Times New Roman" w:cs="Times New Roman" w:eastAsia="Times New Roman" w:hAnsi="Times New Roman"/>
          <w:sz w:val="20"/>
          <w:szCs w:val="20"/>
          <w:color w:val="auto"/>
        </w:rPr>
        <w:t>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49" w:lineRule="exact"/>
        <w:rPr>
          <w:sz w:val="20"/>
          <w:szCs w:val="20"/>
          <w:color w:val="auto"/>
        </w:rPr>
      </w:pPr>
    </w:p>
    <w:p>
      <w:pPr>
        <w:jc w:val="both"/>
        <w:ind w:firstLine="656"/>
        <w:spacing w:after="0" w:line="230" w:lineRule="auto"/>
        <w:tabs>
          <w:tab w:leader="none" w:pos="1286" w:val="left"/>
        </w:tabs>
        <w:numPr>
          <w:ilvl w:val="0"/>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Syndication Agent nor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48"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291" w:val="left"/>
        </w:tabs>
        <w:numPr>
          <w:ilvl w:val="0"/>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60"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42" w:val="left"/>
        </w:tabs>
        <w:numPr>
          <w:ilvl w:val="1"/>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142"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1"/>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same;</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Secured Obligations or the rights of any Lender or Issuing Bank or to authorize the Administrative Agent to vote in respect of the claim of any Lender or Issuing Bank in any such proceeding.</w:t>
      </w:r>
    </w:p>
    <w:p>
      <w:pPr>
        <w:spacing w:after="0" w:line="167" w:lineRule="exact"/>
        <w:rPr>
          <w:sz w:val="20"/>
          <w:szCs w:val="20"/>
          <w:color w:val="auto"/>
        </w:rPr>
      </w:pPr>
    </w:p>
    <w:p>
      <w:pPr>
        <w:jc w:val="both"/>
        <w:ind w:firstLine="656"/>
        <w:spacing w:after="0" w:line="220" w:lineRule="auto"/>
        <w:tabs>
          <w:tab w:leader="none" w:pos="1284"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u w:val="single" w:color="auto"/>
          <w:color w:val="auto"/>
        </w:rPr>
        <w:t>Administrative Agent’s Reliance, Limitation of Liability, Indemnification, Etc.</w:t>
      </w:r>
      <w:r>
        <w:rPr>
          <w:rFonts w:ascii="Times New Roman" w:cs="Times New Roman" w:eastAsia="Times New Roman" w:hAnsi="Times New Roman"/>
          <w:sz w:val="19"/>
          <w:szCs w:val="19"/>
          <w:color w:val="auto"/>
        </w:rPr>
        <w:t>.</w:t>
      </w:r>
    </w:p>
    <w:p>
      <w:pPr>
        <w:jc w:val="both"/>
        <w:ind w:firstLine="656"/>
        <w:spacing w:after="0" w:line="215" w:lineRule="auto"/>
        <w:tabs>
          <w:tab w:leader="none" w:pos="1286"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absence to be presumed unless otherwise determined by a court of competent jurisdiction by a final and nonappealable judgment) or</w:t>
      </w:r>
    </w:p>
    <w:p>
      <w:pPr>
        <w:jc w:val="both"/>
        <w:ind w:firstLine="8"/>
        <w:spacing w:after="0" w:line="221" w:lineRule="auto"/>
        <w:tabs>
          <w:tab w:leader="none" w:pos="292"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 Notwithstanding anything herein to the contrary, the Administrative Agent shall not be liable for, or be responsible for any Liabilities, costs or expenses suffered by the Borrower, any Subsidiary, any Lender or the Issuing Bank as a result of, any determination of Revolving Exposure, any of the component amounts thereof or any portion thereof attributable to each Lender or the Issuing Bank, or any Exchange Rate or calculation of any Dollar Amount or Equivalent Amount.</w:t>
      </w:r>
    </w:p>
    <w:p>
      <w:pPr>
        <w:spacing w:after="0" w:line="153" w:lineRule="exact"/>
        <w:rPr>
          <w:rFonts w:ascii="Times New Roman" w:cs="Times New Roman" w:eastAsia="Times New Roman" w:hAnsi="Times New Roman"/>
          <w:sz w:val="19"/>
          <w:szCs w:val="19"/>
          <w:color w:val="auto"/>
        </w:rPr>
      </w:pPr>
    </w:p>
    <w:p>
      <w:pPr>
        <w:jc w:val="both"/>
        <w:ind w:firstLine="656"/>
        <w:spacing w:after="0" w:line="210" w:lineRule="auto"/>
        <w:tabs>
          <w:tab w:leader="none" w:pos="1284" w:val="left"/>
        </w:tabs>
        <w:numPr>
          <w:ilvl w:val="1"/>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be deemed not to have knowledge of any (x)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(y)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Notwithstanding anything herein to the contrary, the Administrative Agent shall not be liable for, or be responsible for any Liability, cost or expense suffered by the Borrower, any other Loan Party, any Subsidiary, any Lender or the Issuing Bank as a result of, any determination of any Revolving Exposure, any of the component amounts thereof or any portion thereof attributable to each Lender or the Issuing Bank.</w:t>
      </w:r>
    </w:p>
    <w:p>
      <w:pPr>
        <w:spacing w:after="0" w:line="168" w:lineRule="exact"/>
        <w:rPr>
          <w:rFonts w:ascii="Times New Roman" w:cs="Times New Roman" w:eastAsia="Times New Roman" w:hAnsi="Times New Roman"/>
          <w:sz w:val="20"/>
          <w:szCs w:val="20"/>
          <w:color w:val="010000"/>
        </w:rPr>
      </w:pPr>
    </w:p>
    <w:p>
      <w:pPr>
        <w:jc w:val="both"/>
        <w:ind w:firstLine="656"/>
        <w:spacing w:after="0" w:line="210" w:lineRule="auto"/>
        <w:tabs>
          <w:tab w:leader="none" w:pos="1286" w:val="left"/>
        </w:tabs>
        <w:numPr>
          <w:ilvl w:val="1"/>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u w:val="single" w:color="auto"/>
          <w:color w:val="auto"/>
        </w:rPr>
        <w:t>Posting of Communications</w:t>
      </w:r>
      <w:r>
        <w:rPr>
          <w:rFonts w:ascii="Times New Roman" w:cs="Times New Roman" w:eastAsia="Times New Roman" w:hAnsi="Times New Roman"/>
          <w:sz w:val="19"/>
          <w:szCs w:val="19"/>
          <w:color w:val="auto"/>
        </w:rPr>
        <w:t>.</w:t>
      </w:r>
    </w:p>
    <w:p>
      <w:pPr>
        <w:jc w:val="both"/>
        <w:ind w:firstLine="656"/>
        <w:spacing w:after="0" w:line="218" w:lineRule="auto"/>
        <w:tabs>
          <w:tab w:leader="none" w:pos="1286" w:val="left"/>
        </w:tabs>
        <w:numPr>
          <w:ilvl w:val="0"/>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agrees that the Administrative Agent may, but shall not be obligated to, make any Communications available to the Lenders and the Issuing Banks by posting the Communications on IntraLinks™, DebtDomain, SyndTrak, ClearPar or any other electronic system chosen by the Administrative Agent to be its electronic transmission system (the “</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84" w:val="left"/>
        </w:tabs>
        <w:numPr>
          <w:ilvl w:val="0"/>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spacing w:after="0" w:line="161" w:lineRule="exact"/>
        <w:rPr>
          <w:rFonts w:ascii="Times New Roman" w:cs="Times New Roman" w:eastAsia="Times New Roman" w:hAnsi="Times New Roman"/>
          <w:sz w:val="20"/>
          <w:szCs w:val="20"/>
          <w:color w:val="010000"/>
        </w:rPr>
      </w:pPr>
    </w:p>
    <w:p>
      <w:pPr>
        <w:jc w:val="both"/>
        <w:ind w:firstLine="656"/>
        <w:spacing w:after="0" w:line="210" w:lineRule="auto"/>
        <w:tabs>
          <w:tab w:leader="none" w:pos="1286" w:val="left"/>
        </w:tabs>
        <w:numPr>
          <w:ilvl w:val="0"/>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ARRANGERS, THE SYNDICATION AGENTS OR ANY OF THEIR RESPECTIVE RELATED PARTIES (COLLECTIVELY, “</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THROUGH AN ELECTRONIC SYSTEM OR THE APPROVED ELECTRONIC PLATFORM.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59" w:lineRule="exact"/>
        <w:rPr>
          <w:sz w:val="20"/>
          <w:szCs w:val="20"/>
          <w:color w:val="auto"/>
        </w:rPr>
      </w:pPr>
    </w:p>
    <w:p>
      <w:pPr>
        <w:jc w:val="both"/>
        <w:ind w:firstLine="656"/>
        <w:spacing w:after="0" w:line="220" w:lineRule="auto"/>
        <w:tabs>
          <w:tab w:leader="none" w:pos="1284"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47" w:lineRule="exact"/>
        <w:rPr>
          <w:rFonts w:ascii="Times New Roman" w:cs="Times New Roman" w:eastAsia="Times New Roman" w:hAnsi="Times New Roman"/>
          <w:sz w:val="20"/>
          <w:szCs w:val="20"/>
          <w:color w:val="010000"/>
        </w:rPr>
      </w:pPr>
    </w:p>
    <w:p>
      <w:pPr>
        <w:ind w:right="20" w:firstLine="656"/>
        <w:spacing w:after="0"/>
        <w:tabs>
          <w:tab w:leader="none" w:pos="1286"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each of the Issuing Banks and the Borrower agrees that the Administrative Agent may, but (except as may be required by applicable law) shall not be obligated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store the Communications on the Approved Electronic Platform in accordance with the Administrative Agent’s generally applicable document retention procedures and policies.</w:t>
      </w:r>
    </w:p>
    <w:p>
      <w:pPr>
        <w:spacing w:after="0" w:line="148" w:lineRule="exact"/>
        <w:rPr>
          <w:sz w:val="20"/>
          <w:szCs w:val="20"/>
          <w:color w:val="auto"/>
        </w:rPr>
      </w:pPr>
    </w:p>
    <w:p>
      <w:pPr>
        <w:ind w:right="20" w:firstLine="656"/>
        <w:spacing w:after="0"/>
        <w:tabs>
          <w:tab w:leader="none" w:pos="1291"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The Administrative Agent Individually</w:t>
      </w:r>
      <w:r>
        <w:rPr>
          <w:rFonts w:ascii="Times New Roman" w:cs="Times New Roman" w:eastAsia="Times New Roman" w:hAnsi="Times New Roman"/>
          <w:sz w:val="20"/>
          <w:szCs w:val="20"/>
          <w:color w:val="auto"/>
        </w:rPr>
        <w:t>. With respect to its Revolving Commitment, Loans (including Swingline Loans) and Letters of Credit, the Person serving as the Administrative Agent shall have and may exercise the same rights and powers hereunder and is</w:t>
      </w:r>
    </w:p>
    <w:p>
      <w:pPr>
        <w:spacing w:after="0" w:line="212" w:lineRule="auto"/>
        <w:rPr>
          <w:sz w:val="20"/>
          <w:szCs w:val="20"/>
          <w:color w:val="auto"/>
        </w:rPr>
      </w:pPr>
      <w:r>
        <w:rPr>
          <w:rFonts w:ascii="Times New Roman" w:cs="Times New Roman" w:eastAsia="Times New Roman" w:hAnsi="Times New Roman"/>
          <w:sz w:val="20"/>
          <w:szCs w:val="20"/>
          <w:color w:val="auto"/>
        </w:rPr>
        <w:t>subject to the same obligations and liabilities as and to the extent set forth herein for any other Lender or Issuing Bank, as the case may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terms “Issuing Banks”, “Lenders”, “Required Lenders” and any similar terms shall, unless the context clearly otherwise indicates, include the Administrative Agent in its individual capacity as a Lender, Issuing Bank or as one of the Required Lenders, as applicable. The</w:t>
      </w:r>
    </w:p>
    <w:p>
      <w:pPr>
        <w:spacing w:after="0" w:line="223" w:lineRule="auto"/>
        <w:rPr>
          <w:sz w:val="20"/>
          <w:szCs w:val="20"/>
          <w:color w:val="auto"/>
        </w:rPr>
      </w:pPr>
      <w:r>
        <w:rPr>
          <w:rFonts w:ascii="Times New Roman" w:cs="Times New Roman" w:eastAsia="Times New Roman" w:hAnsi="Times New Roman"/>
          <w:sz w:val="19"/>
          <w:szCs w:val="19"/>
          <w:color w:val="auto"/>
        </w:rPr>
        <w:t>Person serving as the Administrative Agent and its Affiliates may accept deposits from, lend money to, own securities of, act as the financial</w:t>
      </w:r>
    </w:p>
    <w:p>
      <w:pPr>
        <w:spacing w:after="0" w:line="204" w:lineRule="auto"/>
        <w:rPr>
          <w:sz w:val="20"/>
          <w:szCs w:val="20"/>
          <w:color w:val="auto"/>
        </w:rPr>
      </w:pPr>
      <w:r>
        <w:rPr>
          <w:rFonts w:ascii="Times New Roman" w:cs="Times New Roman" w:eastAsia="Times New Roman" w:hAnsi="Times New Roman"/>
          <w:sz w:val="20"/>
          <w:szCs w:val="20"/>
          <w:color w:val="auto"/>
        </w:rPr>
        <w:t>advisor or in any other advisory capacity for and generally engage in any kind of banking, trust or other business with, any Loan Party, any Subsidiary or any Affiliate of any of the foregoing as if such Person was not acting as the Administrative Agent and without any duty to</w:t>
      </w:r>
    </w:p>
    <w:p>
      <w:pPr>
        <w:spacing w:after="0" w:line="211" w:lineRule="auto"/>
        <w:rPr>
          <w:sz w:val="20"/>
          <w:szCs w:val="20"/>
          <w:color w:val="auto"/>
        </w:rPr>
      </w:pPr>
      <w:r>
        <w:rPr>
          <w:rFonts w:ascii="Times New Roman" w:cs="Times New Roman" w:eastAsia="Times New Roman" w:hAnsi="Times New Roman"/>
          <w:sz w:val="20"/>
          <w:szCs w:val="20"/>
          <w:color w:val="auto"/>
        </w:rPr>
        <w:t>account therefor to the Lenders or the Issuing Banks.</w:t>
      </w:r>
    </w:p>
    <w:p>
      <w:pPr>
        <w:ind w:left="660"/>
        <w:spacing w:after="0" w:line="208" w:lineRule="auto"/>
        <w:tabs>
          <w:tab w:leader="none" w:pos="128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19"/>
          <w:szCs w:val="19"/>
          <w:u w:val="single" w:color="auto"/>
          <w:color w:val="auto"/>
        </w:rPr>
        <w:t>Successor Administrative Agent</w:t>
      </w:r>
      <w:r>
        <w:rPr>
          <w:rFonts w:ascii="Times New Roman" w:cs="Times New Roman" w:eastAsia="Times New Roman" w:hAnsi="Times New Roman"/>
          <w:sz w:val="19"/>
          <w:szCs w:val="19"/>
          <w:color w:val="auto"/>
        </w:rPr>
        <w:t>.</w:t>
      </w:r>
    </w:p>
    <w:p>
      <w:pPr>
        <w:jc w:val="both"/>
        <w:ind w:firstLine="656"/>
        <w:spacing w:after="0" w:line="209" w:lineRule="auto"/>
        <w:tabs>
          <w:tab w:leader="none" w:pos="1286"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57"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4" w:val="left"/>
        </w:tabs>
        <w:numPr>
          <w:ilvl w:val="0"/>
          <w:numId w:val="12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Notwithstanding paragraph (a) of this Section,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all payments required to be made hereunder or under any other Loan Document to the Administrative Agent for the account of any Person other than the Administrative Agent shall be made directly to such Person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76" w:lineRule="exact"/>
        <w:rPr>
          <w:sz w:val="20"/>
          <w:szCs w:val="20"/>
          <w:color w:val="auto"/>
        </w:rPr>
      </w:pPr>
    </w:p>
    <w:p>
      <w:pPr>
        <w:jc w:val="both"/>
        <w:ind w:firstLine="8"/>
        <w:spacing w:after="0" w:line="216" w:lineRule="auto"/>
        <w:tabs>
          <w:tab w:leader="none" w:pos="31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(a) above.</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u w:val="single" w:color="auto"/>
          <w:color w:val="auto"/>
        </w:rPr>
        <w:t>Acknowledgments of Lenders and Issuing Banks</w:t>
      </w:r>
      <w:r>
        <w:rPr>
          <w:rFonts w:ascii="Times New Roman" w:cs="Times New Roman" w:eastAsia="Times New Roman" w:hAnsi="Times New Roman"/>
          <w:sz w:val="19"/>
          <w:szCs w:val="19"/>
          <w:color w:val="auto"/>
        </w:rPr>
        <w:t>.</w:t>
      </w:r>
    </w:p>
    <w:p>
      <w:pPr>
        <w:jc w:val="both"/>
        <w:ind w:firstLine="656"/>
        <w:spacing w:after="0" w:line="208" w:lineRule="auto"/>
        <w:tabs>
          <w:tab w:leader="none" w:pos="1286" w:val="left"/>
        </w:tabs>
        <w:numPr>
          <w:ilvl w:val="0"/>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the Arrangers, the Syndication Agents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the Arrangers, the Syndication Agents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0"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284" w:val="left"/>
        </w:tabs>
        <w:numPr>
          <w:ilvl w:val="0"/>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160" w:lineRule="exact"/>
        <w:rPr>
          <w:rFonts w:ascii="Times New Roman" w:cs="Times New Roman" w:eastAsia="Times New Roman" w:hAnsi="Times New Roman"/>
          <w:sz w:val="20"/>
          <w:szCs w:val="20"/>
          <w:color w:val="010000"/>
        </w:rPr>
      </w:pPr>
    </w:p>
    <w:p>
      <w:pPr>
        <w:jc w:val="both"/>
        <w:ind w:firstLine="656"/>
        <w:spacing w:after="0" w:line="211" w:lineRule="auto"/>
        <w:tabs>
          <w:tab w:leader="none" w:pos="1286" w:val="left"/>
        </w:tabs>
        <w:numPr>
          <w:ilvl w:val="0"/>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were erroneously transmitted to such Lender (whether or not known to such Lender), and demands the return of such Payment (or a portion thereof), such Lender shall promptly, but in no event later than two (2)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76" w:lineRule="exact"/>
        <w:rPr>
          <w:sz w:val="20"/>
          <w:szCs w:val="20"/>
          <w:color w:val="auto"/>
        </w:rPr>
      </w:pPr>
    </w:p>
    <w:p>
      <w:pPr>
        <w:ind w:left="1940" w:hanging="636"/>
        <w:spacing w:after="0"/>
        <w:tabs>
          <w:tab w:leader="none" w:pos="1940" w:val="left"/>
        </w:tabs>
        <w:numPr>
          <w:ilvl w:val="2"/>
          <w:numId w:val="13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hereby further agrees that if it receives a Payment from the Administrative Agent or any of its Affiliates</w:t>
      </w:r>
    </w:p>
    <w:p>
      <w:pPr>
        <w:spacing w:after="0" w:line="6" w:lineRule="exact"/>
        <w:rPr>
          <w:rFonts w:ascii="Times New Roman" w:cs="Times New Roman" w:eastAsia="Times New Roman" w:hAnsi="Times New Roman"/>
          <w:sz w:val="19"/>
          <w:szCs w:val="19"/>
          <w:color w:val="010000"/>
        </w:rPr>
      </w:pPr>
    </w:p>
    <w:p>
      <w:pPr>
        <w:jc w:val="both"/>
        <w:ind w:firstLine="8"/>
        <w:spacing w:after="0" w:line="205" w:lineRule="auto"/>
        <w:tabs>
          <w:tab w:leader="none" w:pos="29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two</w:t>
      </w:r>
    </w:p>
    <w:p>
      <w:pPr>
        <w:spacing w:after="0" w:line="3" w:lineRule="exact"/>
        <w:rPr>
          <w:rFonts w:ascii="Times New Roman" w:cs="Times New Roman" w:eastAsia="Times New Roman" w:hAnsi="Times New Roman"/>
          <w:sz w:val="20"/>
          <w:szCs w:val="20"/>
          <w:color w:val="auto"/>
        </w:rPr>
      </w:pPr>
    </w:p>
    <w:p>
      <w:pPr>
        <w:jc w:val="both"/>
        <w:spacing w:after="0" w:line="2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49"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43" w:val="left"/>
        </w:tabs>
        <w:numPr>
          <w:ilvl w:val="2"/>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spacing w:after="0" w:line="161"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44" w:val="left"/>
        </w:tabs>
        <w:numPr>
          <w:ilvl w:val="2"/>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party’s obligations under this Section 8.06(c) shall survive the resignation or replacement of the Administrative Agent or any transfer of rights or obligations by, or the replacement of, a Lender, the termination of the Revolving Commitments or the repayment, satisfaction or discharge of all Obligations under any Loan Document.</w:t>
      </w:r>
    </w:p>
    <w:p>
      <w:pPr>
        <w:spacing w:after="0" w:line="160" w:lineRule="exact"/>
        <w:rPr>
          <w:rFonts w:ascii="Times New Roman" w:cs="Times New Roman" w:eastAsia="Times New Roman" w:hAnsi="Times New Roman"/>
          <w:sz w:val="20"/>
          <w:szCs w:val="20"/>
          <w:color w:val="010000"/>
        </w:rPr>
      </w:pPr>
    </w:p>
    <w:p>
      <w:pPr>
        <w:jc w:val="both"/>
        <w:ind w:firstLine="656"/>
        <w:spacing w:after="0" w:line="221" w:lineRule="auto"/>
        <w:tabs>
          <w:tab w:leader="none" w:pos="1284" w:val="left"/>
        </w:tabs>
        <w:numPr>
          <w:ilvl w:val="1"/>
          <w:numId w:val="1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19"/>
          <w:szCs w:val="19"/>
          <w:u w:val="single" w:color="auto"/>
          <w:color w:val="auto"/>
        </w:rPr>
        <w:t>Collateral Matters</w:t>
      </w:r>
      <w:r>
        <w:rPr>
          <w:rFonts w:ascii="Times New Roman" w:cs="Times New Roman" w:eastAsia="Times New Roman" w:hAnsi="Times New Roman"/>
          <w:sz w:val="19"/>
          <w:szCs w:val="19"/>
          <w:color w:val="auto"/>
        </w:rPr>
        <w:t>.</w:t>
      </w:r>
    </w:p>
    <w:p>
      <w:pPr>
        <w:jc w:val="both"/>
        <w:ind w:firstLine="656"/>
        <w:spacing w:after="0" w:line="212" w:lineRule="auto"/>
        <w:tabs>
          <w:tab w:leader="none" w:pos="1286"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deliver on behalf of the Secured Parties any Loan Documents necessary or appropriate to grant and perfect a Lien on such Collateral in favor of the Administrative Agent on behalf of the Secured Parties.</w:t>
      </w:r>
    </w:p>
    <w:p>
      <w:pPr>
        <w:spacing w:after="0" w:line="148" w:lineRule="exact"/>
        <w:rPr>
          <w:sz w:val="20"/>
          <w:szCs w:val="20"/>
          <w:color w:val="auto"/>
        </w:rPr>
      </w:pPr>
    </w:p>
    <w:p>
      <w:pPr>
        <w:jc w:val="both"/>
        <w:ind w:firstLine="656"/>
        <w:spacing w:after="0" w:line="215" w:lineRule="auto"/>
        <w:tabs>
          <w:tab w:leader="none" w:pos="1284"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64" w:lineRule="exact"/>
        <w:rPr>
          <w:rFonts w:ascii="Times New Roman" w:cs="Times New Roman" w:eastAsia="Times New Roman" w:hAnsi="Times New Roman"/>
          <w:sz w:val="20"/>
          <w:szCs w:val="20"/>
          <w:color w:val="010000"/>
        </w:rPr>
      </w:pPr>
    </w:p>
    <w:p>
      <w:pPr>
        <w:jc w:val="both"/>
        <w:ind w:firstLine="656"/>
        <w:spacing w:after="0" w:line="210" w:lineRule="auto"/>
        <w:tabs>
          <w:tab w:leader="none" w:pos="1286"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for and on behalf of itself and each of its Affiliates, agrees to hold all Control Collateral and Cash Collateral that is part of the Collateral in its possession, custody, or control (or in the possession, custody, or control of agents or bailees for either) as agent for each Secured Party solely for the purpose of perfecting the security interest granted to the Administrative Agent for itself and each Secured Party in such Control Collateral or Cash Collateral. The duties or responsibilities of any such Lender (or Affiliate thereof) under this Section 8.07(c) are and shall be limited solely to holding or maintaining control of the Control Collateral and the Cash Collateral in its possession as agent for the Secured Parties for purposes of perfecting the Lien held by such Lender (or Affiliate). No Lender (or Affiliate) is, or shall be deemed to be, a fiduciary of any kind for any other Secured Party or any other Person. Nothing in this Section 8.07(c) shall be construed to limit (a) the obligations of the Loan Parties to comply with the requirements of the Collateral Documents or any other Loan Document with respect to any Control Collateral or Cash Collateral or (b) any Lender’s obligation to share the benefits of any right of setoff or counterclaim with respect to any Control Collateral or Cash Collateral pursuant to the terms of this Agreement. As used in this Section 8.07(d), (i)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means cash, Permitted Investments, Security Entitlements or financial assets, and (ii) “</w:t>
      </w:r>
      <w:r>
        <w:rPr>
          <w:rFonts w:ascii="Times New Roman" w:cs="Times New Roman" w:eastAsia="Times New Roman" w:hAnsi="Times New Roman"/>
          <w:sz w:val="20"/>
          <w:szCs w:val="20"/>
          <w:u w:val="single" w:color="auto"/>
          <w:color w:val="auto"/>
        </w:rPr>
        <w:t>Control Collateral</w:t>
      </w:r>
      <w:r>
        <w:rPr>
          <w:rFonts w:ascii="Times New Roman" w:cs="Times New Roman" w:eastAsia="Times New Roman" w:hAnsi="Times New Roman"/>
          <w:sz w:val="20"/>
          <w:szCs w:val="20"/>
          <w:color w:val="auto"/>
        </w:rPr>
        <w:t>” means any Collateral consisting of any Certificated Security, Securities Account, Investment Property, Deposit Account, Instruments or any other Collateral as to which a Lien may be perfected through possession or control by the secured party, or any representative therefor (with capitalized terms not defined herein having the meanings set forth in the UCC).</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19"/>
          <w:szCs w:val="19"/>
          <w:u w:val="single" w:color="auto"/>
          <w:color w:val="auto"/>
        </w:rPr>
        <w:t>Credit Bidding</w:t>
      </w:r>
      <w:r>
        <w:rPr>
          <w:rFonts w:ascii="Times New Roman" w:cs="Times New Roman" w:eastAsia="Times New Roman" w:hAnsi="Times New Roman"/>
          <w:sz w:val="19"/>
          <w:szCs w:val="19"/>
          <w:color w:val="auto"/>
        </w:rPr>
        <w:t>. The Secured Parties hereby irrevocably authorize the Administrative Agent, at the direction of the Required</w:t>
      </w:r>
    </w:p>
    <w:p>
      <w:pPr>
        <w:spacing w:after="0" w:line="215" w:lineRule="auto"/>
        <w:rPr>
          <w:sz w:val="20"/>
          <w:szCs w:val="20"/>
          <w:color w:val="auto"/>
        </w:rPr>
      </w:pPr>
      <w:r>
        <w:rPr>
          <w:rFonts w:ascii="Times New Roman" w:cs="Times New Roman" w:eastAsia="Times New Roman" w:hAnsi="Times New Roman"/>
          <w:sz w:val="19"/>
          <w:szCs w:val="19"/>
          <w:color w:val="auto"/>
        </w:rPr>
        <w:t>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w:t>
      </w:r>
    </w:p>
    <w:p>
      <w:pPr>
        <w:spacing w:after="0" w:line="211" w:lineRule="auto"/>
        <w:rPr>
          <w:sz w:val="20"/>
          <w:szCs w:val="20"/>
          <w:color w:val="auto"/>
        </w:rPr>
      </w:pPr>
      <w:r>
        <w:rPr>
          <w:rFonts w:ascii="Times New Roman" w:cs="Times New Roman" w:eastAsia="Times New Roman" w:hAnsi="Times New Roman"/>
          <w:sz w:val="20"/>
          <w:szCs w:val="20"/>
          <w:color w:val="auto"/>
        </w:rPr>
        <w:t>through one or more acquisition vehicles) all or any portion of the Collateral (a) at any sale thereof conducted under the provisions of the</w:t>
      </w:r>
    </w:p>
    <w:p>
      <w:pPr>
        <w:spacing w:after="0" w:line="215" w:lineRule="auto"/>
        <w:rPr>
          <w:sz w:val="20"/>
          <w:szCs w:val="20"/>
          <w:color w:val="auto"/>
        </w:rPr>
      </w:pPr>
      <w:r>
        <w:rPr>
          <w:rFonts w:ascii="Times New Roman" w:cs="Times New Roman" w:eastAsia="Times New Roman" w:hAnsi="Times New Roman"/>
          <w:sz w:val="19"/>
          <w:szCs w:val="19"/>
          <w:color w:val="auto"/>
        </w:rPr>
        <w:t>Bankruptcy Code, including under Sections 363, 1123 or 1129 of the Bankruptcy Code, or any similar laws in any other jurisdictions to which a Loan Party is subject, or (b) at any other sale, foreclosure or acceptance of collateral in lieu of debt conducted by (or with the consent</w:t>
      </w:r>
    </w:p>
    <w:p>
      <w:pPr>
        <w:spacing w:after="0" w:line="211" w:lineRule="auto"/>
        <w:rPr>
          <w:sz w:val="20"/>
          <w:szCs w:val="20"/>
          <w:color w:val="auto"/>
        </w:rPr>
      </w:pPr>
      <w:r>
        <w:rPr>
          <w:rFonts w:ascii="Times New Roman" w:cs="Times New Roman" w:eastAsia="Times New Roman" w:hAnsi="Times New Roman"/>
          <w:sz w:val="20"/>
          <w:szCs w:val="20"/>
          <w:color w:val="auto"/>
        </w:rPr>
        <w:t>or at the direction of) the Administrative Agent (whether by judicial action or otherwise) in accordance with any applicable law. In</w:t>
      </w:r>
    </w:p>
    <w:p>
      <w:pPr>
        <w:spacing w:after="0" w:line="204" w:lineRule="auto"/>
        <w:rPr>
          <w:sz w:val="20"/>
          <w:szCs w:val="20"/>
          <w:color w:val="auto"/>
        </w:rPr>
      </w:pPr>
      <w:r>
        <w:rPr>
          <w:rFonts w:ascii="Times New Roman" w:cs="Times New Roman" w:eastAsia="Times New Roman" w:hAnsi="Times New Roman"/>
          <w:sz w:val="20"/>
          <w:szCs w:val="20"/>
          <w:color w:val="auto"/>
        </w:rPr>
        <w:t>connection with any such credit bid and purchase, the Secured Obligations owed to the Secured Parties shall be entitled to be, and shall be, credit bid by the Administrative Agent at the direction of the Required Lenders on a ratable basis (with Secured Obligations with respect to</w:t>
      </w:r>
    </w:p>
    <w:p>
      <w:pPr>
        <w:spacing w:after="0" w:line="223" w:lineRule="auto"/>
        <w:rPr>
          <w:sz w:val="20"/>
          <w:szCs w:val="20"/>
          <w:color w:val="auto"/>
        </w:rPr>
      </w:pPr>
      <w:r>
        <w:rPr>
          <w:rFonts w:ascii="Times New Roman" w:cs="Times New Roman" w:eastAsia="Times New Roman" w:hAnsi="Times New Roman"/>
          <w:sz w:val="19"/>
          <w:szCs w:val="19"/>
          <w:color w:val="auto"/>
        </w:rPr>
        <w:t>contingent or unliquidated claims receiving contingent interests in the acquired assets on a ratable basis that shall vest upon the liquidation of</w:t>
      </w:r>
    </w:p>
    <w:p>
      <w:pPr>
        <w:spacing w:after="0" w:line="204" w:lineRule="auto"/>
        <w:rPr>
          <w:sz w:val="20"/>
          <w:szCs w:val="20"/>
          <w:color w:val="auto"/>
        </w:rPr>
      </w:pPr>
      <w:r>
        <w:rPr>
          <w:rFonts w:ascii="Times New Roman" w:cs="Times New Roman" w:eastAsia="Times New Roman" w:hAnsi="Times New Roman"/>
          <w:sz w:val="20"/>
          <w:szCs w:val="20"/>
          <w:color w:val="auto"/>
        </w:rPr>
        <w:t>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w:t>
      </w:r>
    </w:p>
    <w:p>
      <w:pPr>
        <w:spacing w:after="0" w:line="211" w:lineRule="auto"/>
        <w:rPr>
          <w:sz w:val="20"/>
          <w:szCs w:val="20"/>
          <w:color w:val="auto"/>
        </w:rPr>
      </w:pPr>
      <w:r>
        <w:rPr>
          <w:rFonts w:ascii="Times New Roman" w:cs="Times New Roman" w:eastAsia="Times New Roman" w:hAnsi="Times New Roman"/>
          <w:sz w:val="20"/>
          <w:szCs w:val="20"/>
          <w:color w:val="auto"/>
        </w:rPr>
        <w:t>connection with such purchase). In connection with any such bid (i) the Administrative Agent shall be authorized to form one or more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w:t>
      </w:r>
    </w:p>
    <w:p>
      <w:pPr>
        <w:spacing w:after="0" w:line="222" w:lineRule="auto"/>
        <w:rPr>
          <w:sz w:val="20"/>
          <w:szCs w:val="20"/>
          <w:color w:val="auto"/>
        </w:rPr>
      </w:pPr>
      <w:r>
        <w:rPr>
          <w:rFonts w:ascii="Times New Roman" w:cs="Times New Roman" w:eastAsia="Times New Roman" w:hAnsi="Times New Roman"/>
          <w:sz w:val="19"/>
          <w:szCs w:val="19"/>
          <w:color w:val="auto"/>
        </w:rPr>
        <w:t>such vehicle or vehicles for the purpose of closing such sale, (iii) the Administrative Agent shall be authorized to adopt documents providing</w:t>
      </w:r>
    </w:p>
    <w:p>
      <w:pPr>
        <w:spacing w:after="0" w:line="221" w:lineRule="auto"/>
        <w:rPr>
          <w:sz w:val="20"/>
          <w:szCs w:val="20"/>
          <w:color w:val="auto"/>
        </w:rPr>
      </w:pPr>
      <w:r>
        <w:rPr>
          <w:rFonts w:ascii="Times New Roman" w:cs="Times New Roman" w:eastAsia="Times New Roman" w:hAnsi="Times New Roman"/>
          <w:sz w:val="20"/>
          <w:szCs w:val="20"/>
          <w:color w:val="auto"/>
        </w:rPr>
        <w:t>for the governance of the acquisition vehicle or vehicles (provided that any actions by the Administrative Agent with respect to such acquisition vehicle or vehicles, including any Disposition of the assets or equity interests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be governed, directly or indirectly, by, and the governing documents shall provide for, control by the vote of the Required Lenders or</w:t>
      </w:r>
    </w:p>
    <w:p>
      <w:pPr>
        <w:spacing w:after="0" w:line="204" w:lineRule="auto"/>
        <w:rPr>
          <w:sz w:val="20"/>
          <w:szCs w:val="20"/>
          <w:color w:val="auto"/>
        </w:rPr>
      </w:pPr>
      <w:r>
        <w:rPr>
          <w:rFonts w:ascii="Times New Roman" w:cs="Times New Roman" w:eastAsia="Times New Roman" w:hAnsi="Times New Roman"/>
          <w:sz w:val="20"/>
          <w:szCs w:val="20"/>
          <w:color w:val="auto"/>
        </w:rPr>
        <w:t>their permitted assignees under the terms of this Agreement or the governing documents of the applicable acquisition vehicle or vehicles, as the case may be, irrespective of the termination of this Agreement and without giving effect to the limitations on actions by the Required</w:t>
      </w:r>
    </w:p>
    <w:p>
      <w:pPr>
        <w:spacing w:after="0" w:line="223" w:lineRule="auto"/>
        <w:rPr>
          <w:sz w:val="20"/>
          <w:szCs w:val="20"/>
          <w:color w:val="auto"/>
        </w:rPr>
      </w:pPr>
      <w:r>
        <w:rPr>
          <w:rFonts w:ascii="Times New Roman" w:cs="Times New Roman" w:eastAsia="Times New Roman" w:hAnsi="Times New Roman"/>
          <w:sz w:val="19"/>
          <w:szCs w:val="19"/>
          <w:color w:val="auto"/>
        </w:rPr>
        <w:t>Lenders contained in Section 9.02 of this Agreement), (iv) the Administrative Agent on behalf of such acquisition vehicle or vehicles shall be</w:t>
      </w:r>
    </w:p>
    <w:p>
      <w:pPr>
        <w:spacing w:after="0" w:line="204" w:lineRule="auto"/>
        <w:rPr>
          <w:sz w:val="20"/>
          <w:szCs w:val="20"/>
          <w:color w:val="auto"/>
        </w:rPr>
      </w:pPr>
      <w:r>
        <w:rPr>
          <w:rFonts w:ascii="Times New Roman" w:cs="Times New Roman" w:eastAsia="Times New Roman" w:hAnsi="Times New Roman"/>
          <w:sz w:val="20"/>
          <w:szCs w:val="20"/>
          <w:color w:val="auto"/>
        </w:rPr>
        <w:t>authorized to issue to each of the Secured Parties, ratably on account of the relevant Secured Obligations which were credit bid, interests, whether as equity, partnership interests, limited partnership interests or membership interests, in any such acquisition vehicle and/or debt</w:t>
      </w:r>
    </w:p>
    <w:p>
      <w:pPr>
        <w:spacing w:after="0" w:line="211" w:lineRule="auto"/>
        <w:rPr>
          <w:sz w:val="20"/>
          <w:szCs w:val="20"/>
          <w:color w:val="auto"/>
        </w:rPr>
      </w:pPr>
      <w:r>
        <w:rPr>
          <w:rFonts w:ascii="Times New Roman" w:cs="Times New Roman" w:eastAsia="Times New Roman" w:hAnsi="Times New Roman"/>
          <w:sz w:val="20"/>
          <w:szCs w:val="20"/>
          <w:color w:val="auto"/>
        </w:rPr>
        <w:t>instruments issued by such acquisition vehicle, all without the need for any Secured Party or acquisition vehicle to take any further action,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(v) to the extent that Secured Obligations that are assigned to an acquisition vehicle are not used to acquire Collateral for any reason (as a result of another bid being higher or better, because the amount of Secured Obligations assigned to the acquisition vehicle exceeds the</w:t>
      </w:r>
    </w:p>
    <w:p>
      <w:pPr>
        <w:spacing w:after="0" w:line="211" w:lineRule="auto"/>
        <w:rPr>
          <w:sz w:val="20"/>
          <w:szCs w:val="20"/>
          <w:color w:val="auto"/>
        </w:rPr>
      </w:pPr>
      <w:r>
        <w:rPr>
          <w:rFonts w:ascii="Times New Roman" w:cs="Times New Roman" w:eastAsia="Times New Roman" w:hAnsi="Times New Roman"/>
          <w:sz w:val="20"/>
          <w:szCs w:val="20"/>
          <w:color w:val="auto"/>
        </w:rPr>
        <w:t>amount of Secured Obligations credit bid by the acquisition vehicle or otherwise), such Secured Obligations shall automatically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reassigned to the Secured Parties pro rata with their original interest in such Secured Obligations and the equity interests and/or debt instruments issued by any acquisition vehicle on account of such Secured Obligations shall automatically be cancelled, without the need for</w:t>
      </w:r>
    </w:p>
    <w:p>
      <w:pPr>
        <w:spacing w:after="0" w:line="223" w:lineRule="auto"/>
        <w:rPr>
          <w:sz w:val="20"/>
          <w:szCs w:val="20"/>
          <w:color w:val="auto"/>
        </w:rPr>
      </w:pPr>
      <w:r>
        <w:rPr>
          <w:rFonts w:ascii="Times New Roman" w:cs="Times New Roman" w:eastAsia="Times New Roman" w:hAnsi="Times New Roman"/>
          <w:sz w:val="19"/>
          <w:szCs w:val="19"/>
          <w:color w:val="auto"/>
        </w:rPr>
        <w:t>any Secured Party or any acquisition vehicle to take any further action. Notwithstanding that the ratable portion of the Secured Obligations of</w:t>
      </w:r>
    </w:p>
    <w:p>
      <w:pPr>
        <w:spacing w:after="0" w:line="204" w:lineRule="auto"/>
        <w:rPr>
          <w:sz w:val="20"/>
          <w:szCs w:val="20"/>
          <w:color w:val="auto"/>
        </w:rPr>
      </w:pPr>
      <w:r>
        <w:rPr>
          <w:rFonts w:ascii="Times New Roman" w:cs="Times New Roman" w:eastAsia="Times New Roman" w:hAnsi="Times New Roman"/>
          <w:sz w:val="20"/>
          <w:szCs w:val="20"/>
          <w:color w:val="auto"/>
        </w:rPr>
        <w:t>each Secured Party are deemed assigned to the acquisition vehicle or vehicles as set forth in clause (ii) above, each Secured Party shall execute such documents and provide such information regarding the Secured Party (and/or any designee of the Secured Party which will</w:t>
      </w:r>
    </w:p>
    <w:p>
      <w:pPr>
        <w:spacing w:after="0" w:line="223" w:lineRule="auto"/>
        <w:rPr>
          <w:sz w:val="20"/>
          <w:szCs w:val="20"/>
          <w:color w:val="auto"/>
        </w:rPr>
      </w:pPr>
      <w:r>
        <w:rPr>
          <w:rFonts w:ascii="Times New Roman" w:cs="Times New Roman" w:eastAsia="Times New Roman" w:hAnsi="Times New Roman"/>
          <w:sz w:val="19"/>
          <w:szCs w:val="19"/>
          <w:color w:val="auto"/>
        </w:rPr>
        <w:t>receive interests in or debt instruments issued by such acquisition vehicle) as the Administrative Agent may reasonably request in connection</w:t>
      </w:r>
    </w:p>
    <w:p>
      <w:pPr>
        <w:spacing w:after="0" w:line="204" w:lineRule="auto"/>
        <w:rPr>
          <w:sz w:val="20"/>
          <w:szCs w:val="20"/>
          <w:color w:val="auto"/>
        </w:rPr>
      </w:pPr>
      <w:r>
        <w:rPr>
          <w:rFonts w:ascii="Times New Roman" w:cs="Times New Roman" w:eastAsia="Times New Roman" w:hAnsi="Times New Roman"/>
          <w:sz w:val="20"/>
          <w:szCs w:val="20"/>
          <w:color w:val="auto"/>
        </w:rPr>
        <w:t>with the formation of any acquisition vehicle, the formulation or submission of any credit bid or the consummation of the transactions contemplated by such credit bid.</w:t>
      </w:r>
    </w:p>
    <w:p>
      <w:pPr>
        <w:ind w:left="660"/>
        <w:spacing w:after="0" w:line="208" w:lineRule="auto"/>
        <w:tabs>
          <w:tab w:leader="none" w:pos="1280" w:val="left"/>
        </w:tabs>
        <w:rPr>
          <w:sz w:val="20"/>
          <w:szCs w:val="20"/>
          <w:color w:val="auto"/>
        </w:rPr>
      </w:pPr>
      <w:r>
        <w:rPr>
          <w:rFonts w:ascii="Times New Roman" w:cs="Times New Roman" w:eastAsia="Times New Roman" w:hAnsi="Times New Roman"/>
          <w:sz w:val="20"/>
          <w:szCs w:val="20"/>
          <w:color w:val="auto"/>
        </w:rPr>
        <w:t>8.9</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jc w:val="both"/>
        <w:ind w:firstLine="656"/>
        <w:spacing w:after="0" w:line="216" w:lineRule="auto"/>
        <w:tabs>
          <w:tab w:leader="none" w:pos="1286" w:val="left"/>
        </w:tabs>
        <w:numPr>
          <w:ilvl w:val="0"/>
          <w:numId w:val="1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or any other Loan Party, that at least one of the following is and will be true:</w:t>
      </w:r>
    </w:p>
    <w:p>
      <w:pPr>
        <w:spacing w:after="0" w:line="162" w:lineRule="exact"/>
        <w:rPr>
          <w:rFonts w:ascii="Times New Roman" w:cs="Times New Roman" w:eastAsia="Times New Roman" w:hAnsi="Times New Roman"/>
          <w:sz w:val="20"/>
          <w:szCs w:val="20"/>
          <w:color w:val="010000"/>
        </w:rPr>
      </w:pPr>
    </w:p>
    <w:p>
      <w:pPr>
        <w:ind w:firstLine="1304"/>
        <w:spacing w:after="0"/>
        <w:tabs>
          <w:tab w:leader="none" w:pos="1942" w:val="left"/>
        </w:tabs>
        <w:numPr>
          <w:ilvl w:val="1"/>
          <w:numId w:val="1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Lender is not using “plan assets” (within the meaning of the Plan Asset Regulations) of one or more Benefit Plans in connection with the Loans, the Letters of Credit, the Revolving Commitments or this Agreement,</w:t>
      </w:r>
    </w:p>
    <w:p>
      <w:pPr>
        <w:spacing w:after="0" w:line="147" w:lineRule="exact"/>
        <w:rPr>
          <w:rFonts w:ascii="Times New Roman" w:cs="Times New Roman" w:eastAsia="Times New Roman" w:hAnsi="Times New Roman"/>
          <w:sz w:val="20"/>
          <w:szCs w:val="20"/>
          <w:color w:val="010000"/>
        </w:rPr>
      </w:pPr>
    </w:p>
    <w:p>
      <w:pPr>
        <w:jc w:val="both"/>
        <w:ind w:right="20" w:firstLine="1304"/>
        <w:spacing w:after="0" w:line="218" w:lineRule="auto"/>
        <w:tabs>
          <w:tab w:leader="none" w:pos="1943" w:val="left"/>
        </w:tabs>
        <w:numPr>
          <w:ilvl w:val="1"/>
          <w:numId w:val="1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150" w:lineRule="exact"/>
        <w:rPr>
          <w:rFonts w:ascii="Times New Roman" w:cs="Times New Roman" w:eastAsia="Times New Roman" w:hAnsi="Times New Roman"/>
          <w:sz w:val="20"/>
          <w:szCs w:val="20"/>
          <w:color w:val="010000"/>
        </w:rPr>
      </w:pPr>
    </w:p>
    <w:p>
      <w:pPr>
        <w:jc w:val="both"/>
        <w:ind w:firstLine="1304"/>
        <w:spacing w:after="0" w:line="215" w:lineRule="auto"/>
        <w:tabs>
          <w:tab w:leader="none" w:pos="1944" w:val="left"/>
        </w:tabs>
        <w:numPr>
          <w:ilvl w:val="1"/>
          <w:numId w:val="1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164" w:lineRule="exact"/>
        <w:rPr>
          <w:rFonts w:ascii="Times New Roman" w:cs="Times New Roman" w:eastAsia="Times New Roman" w:hAnsi="Times New Roman"/>
          <w:sz w:val="20"/>
          <w:szCs w:val="20"/>
          <w:color w:val="010000"/>
        </w:rPr>
      </w:pPr>
    </w:p>
    <w:p>
      <w:pPr>
        <w:ind w:right="20" w:firstLine="1304"/>
        <w:spacing w:after="0"/>
        <w:tabs>
          <w:tab w:leader="none" w:pos="1933" w:val="left"/>
        </w:tabs>
        <w:numPr>
          <w:ilvl w:val="1"/>
          <w:numId w:val="1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76" w:lineRule="exact"/>
        <w:rPr>
          <w:sz w:val="20"/>
          <w:szCs w:val="20"/>
          <w:color w:val="auto"/>
        </w:rPr>
      </w:pPr>
    </w:p>
    <w:p>
      <w:pPr>
        <w:jc w:val="both"/>
        <w:ind w:firstLine="656"/>
        <w:spacing w:after="0" w:line="213" w:lineRule="auto"/>
        <w:tabs>
          <w:tab w:leader="none" w:pos="1284"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addition, unless either (1) sub-clause (i) in the immediately preceding clause (a) is true with respect to a Lender or (2) a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or any other Loan Party, that none of the Administrative Agent or the Arrangers or any of their respective Affiliates is a fiduciary with respect to the assets of such Lender in connection with the Loans, the Letters of Credit, the Revolving Commitments or this Agreement (including in connection with the reservation or exercise of any rights by the Administrative Agent under this Agreement, any Loan Document or any documents related to hereto or thereto).</w:t>
      </w:r>
    </w:p>
    <w:p>
      <w:pPr>
        <w:spacing w:after="0" w:line="161" w:lineRule="exact"/>
        <w:rPr>
          <w:rFonts w:ascii="Times New Roman" w:cs="Times New Roman" w:eastAsia="Times New Roman" w:hAnsi="Times New Roman"/>
          <w:sz w:val="20"/>
          <w:szCs w:val="20"/>
          <w:color w:val="010000"/>
        </w:rPr>
      </w:pPr>
    </w:p>
    <w:p>
      <w:pPr>
        <w:jc w:val="both"/>
        <w:ind w:firstLine="656"/>
        <w:spacing w:after="0" w:line="211" w:lineRule="auto"/>
        <w:tabs>
          <w:tab w:leader="none" w:pos="1286"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the Arrangers and the Syndication Agents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Revolving Commitments, this Agreement and any other Loan Documents, (ii) may recognize a gain if it extended the Loans, the Letters of Credit or the Revolving Commitments for an amount less than the amount being paid for an interest in the Loans, the Letters of Credit or the Revolving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8.10</w:t>
      </w:r>
      <w:r>
        <w:rPr>
          <w:sz w:val="20"/>
          <w:szCs w:val="20"/>
          <w:color w:val="auto"/>
        </w:rPr>
        <w:tab/>
      </w:r>
      <w:r>
        <w:rPr>
          <w:rFonts w:ascii="Times New Roman" w:cs="Times New Roman" w:eastAsia="Times New Roman" w:hAnsi="Times New Roman"/>
          <w:sz w:val="20"/>
          <w:szCs w:val="20"/>
          <w:u w:val="single" w:color="auto"/>
          <w:color w:val="auto"/>
        </w:rPr>
        <w:t>Flood Laws</w:t>
      </w:r>
      <w:r>
        <w:rPr>
          <w:rFonts w:ascii="Times New Roman" w:cs="Times New Roman" w:eastAsia="Times New Roman" w:hAnsi="Times New Roman"/>
          <w:sz w:val="20"/>
          <w:szCs w:val="20"/>
          <w:color w:val="auto"/>
        </w:rPr>
        <w:t>. BMO has adopted internal policies and procedures that address requirements placed on federally regulated</w:t>
      </w:r>
    </w:p>
    <w:p>
      <w:pPr>
        <w:spacing w:after="0" w:line="204" w:lineRule="auto"/>
        <w:rPr>
          <w:sz w:val="20"/>
          <w:szCs w:val="20"/>
          <w:color w:val="auto"/>
        </w:rPr>
      </w:pPr>
      <w:r>
        <w:rPr>
          <w:rFonts w:ascii="Times New Roman" w:cs="Times New Roman" w:eastAsia="Times New Roman" w:hAnsi="Times New Roman"/>
          <w:sz w:val="20"/>
          <w:szCs w:val="20"/>
          <w:color w:val="auto"/>
        </w:rPr>
        <w:t>lenders under the National Flood Insurance Reform Act of 1994 and related legislation (the “</w:t>
      </w:r>
      <w:r>
        <w:rPr>
          <w:rFonts w:ascii="Times New Roman" w:cs="Times New Roman" w:eastAsia="Times New Roman" w:hAnsi="Times New Roman"/>
          <w:sz w:val="20"/>
          <w:szCs w:val="20"/>
          <w:u w:val="single" w:color="auto"/>
          <w:color w:val="auto"/>
        </w:rPr>
        <w:t>Flood Laws</w:t>
      </w:r>
      <w:r>
        <w:rPr>
          <w:rFonts w:ascii="Times New Roman" w:cs="Times New Roman" w:eastAsia="Times New Roman" w:hAnsi="Times New Roman"/>
          <w:sz w:val="20"/>
          <w:szCs w:val="20"/>
          <w:color w:val="auto"/>
        </w:rPr>
        <w:t>”). BMO, as administrative agent or collateral agent on a syndicated facility, will post on the applicable electronic platform (or otherwise distribute to each Lender in the</w:t>
      </w:r>
    </w:p>
    <w:p>
      <w:pPr>
        <w:spacing w:after="0" w:line="223" w:lineRule="auto"/>
        <w:rPr>
          <w:sz w:val="20"/>
          <w:szCs w:val="20"/>
          <w:color w:val="auto"/>
        </w:rPr>
      </w:pPr>
      <w:r>
        <w:rPr>
          <w:rFonts w:ascii="Times New Roman" w:cs="Times New Roman" w:eastAsia="Times New Roman" w:hAnsi="Times New Roman"/>
          <w:sz w:val="19"/>
          <w:szCs w:val="19"/>
          <w:color w:val="auto"/>
        </w:rPr>
        <w:t>syndicate) documents that it receives in connection with the Flood Laws. However, BMO reminds each Lender and Participant in the facility</w:t>
      </w:r>
    </w:p>
    <w:p>
      <w:pPr>
        <w:spacing w:after="0" w:line="221" w:lineRule="auto"/>
        <w:rPr>
          <w:sz w:val="20"/>
          <w:szCs w:val="20"/>
          <w:color w:val="auto"/>
        </w:rPr>
      </w:pPr>
      <w:r>
        <w:rPr>
          <w:rFonts w:ascii="Times New Roman" w:cs="Times New Roman" w:eastAsia="Times New Roman" w:hAnsi="Times New Roman"/>
          <w:sz w:val="20"/>
          <w:szCs w:val="20"/>
          <w:color w:val="auto"/>
        </w:rPr>
        <w:t>that, pursuant to the Flood Laws, each federally regulated Lender (whether acting as a Lender or Participant in the facility) is responsible for assuring its own compliance with the flood insurance requirements.</w:t>
      </w:r>
    </w:p>
    <w:p>
      <w:pPr>
        <w:spacing w:after="0" w:line="8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color w:val="010000"/>
        </w:rPr>
        <w:t>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jc w:val="both"/>
        <w:ind w:firstLine="656"/>
        <w:spacing w:after="0" w:line="218" w:lineRule="auto"/>
        <w:tabs>
          <w:tab w:leader="none" w:pos="1286"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in the case of notices and other communications expressly permitted to be given by fax or Electronic Systems (and subject in each case to paragraph (b) below), all notices and other communications provided for herein shall be in writing and shall be delivered by hand or overnight courier service, mailed by certified or registered mail or sent by fax, as follows:</w:t>
      </w:r>
    </w:p>
    <w:p>
      <w:pPr>
        <w:spacing w:after="0" w:line="161"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any Loan Party, to it in care of the Borrower at:</w:t>
      </w:r>
    </w:p>
    <w:p>
      <w:pPr>
        <w:spacing w:after="0" w:line="188" w:lineRule="exact"/>
        <w:rPr>
          <w:rFonts w:ascii="Times New Roman" w:cs="Times New Roman" w:eastAsia="Times New Roman" w:hAnsi="Times New Roman"/>
          <w:sz w:val="20"/>
          <w:szCs w:val="20"/>
          <w:color w:val="010000"/>
        </w:rPr>
      </w:pPr>
    </w:p>
    <w:p>
      <w:pPr>
        <w:ind w:left="19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Cricut, Inc.</w:t>
      </w:r>
    </w:p>
    <w:p>
      <w:pPr>
        <w:spacing w:after="0" w:line="28" w:lineRule="exact"/>
        <w:rPr>
          <w:rFonts w:ascii="Times New Roman" w:cs="Times New Roman" w:eastAsia="Times New Roman" w:hAnsi="Times New Roman"/>
          <w:sz w:val="20"/>
          <w:szCs w:val="20"/>
          <w:color w:val="010000"/>
        </w:rPr>
      </w:pPr>
    </w:p>
    <w:p>
      <w:pPr>
        <w:ind w:left="1960" w:right="6580"/>
        <w:spacing w:after="0" w:line="250" w:lineRule="auto"/>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10855 South River Front Parkway Suite 300</w:t>
      </w:r>
    </w:p>
    <w:p>
      <w:pPr>
        <w:ind w:left="19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South Jordan, UT 84095</w:t>
      </w:r>
    </w:p>
    <w:p>
      <w:pPr>
        <w:spacing w:after="0" w:line="6" w:lineRule="exact"/>
        <w:rPr>
          <w:rFonts w:ascii="Times New Roman" w:cs="Times New Roman" w:eastAsia="Times New Roman" w:hAnsi="Times New Roman"/>
          <w:sz w:val="20"/>
          <w:szCs w:val="20"/>
          <w:color w:val="010000"/>
        </w:rPr>
      </w:pPr>
    </w:p>
    <w:p>
      <w:pPr>
        <w:ind w:left="19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Attention: Kimball Shill and Matt Tuttle</w:t>
      </w:r>
    </w:p>
    <w:p>
      <w:pPr>
        <w:spacing w:after="0" w:line="6" w:lineRule="exact"/>
        <w:rPr>
          <w:rFonts w:ascii="Times New Roman" w:cs="Times New Roman" w:eastAsia="Times New Roman" w:hAnsi="Times New Roman"/>
          <w:sz w:val="20"/>
          <w:szCs w:val="20"/>
          <w:color w:val="010000"/>
        </w:rPr>
      </w:pPr>
    </w:p>
    <w:p>
      <w:pPr>
        <w:ind w:left="19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Facsimile No: (801) 794-2077</w:t>
      </w:r>
    </w:p>
    <w:p>
      <w:pPr>
        <w:spacing w:after="0" w:line="234" w:lineRule="exact"/>
        <w:rPr>
          <w:rFonts w:ascii="Times New Roman" w:cs="Times New Roman" w:eastAsia="Times New Roman" w:hAnsi="Times New Roman"/>
          <w:sz w:val="20"/>
          <w:szCs w:val="20"/>
          <w:color w:val="010000"/>
        </w:rPr>
      </w:pPr>
    </w:p>
    <w:p>
      <w:pPr>
        <w:ind w:left="19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 a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0" w:lineRule="exact"/>
        <w:rPr>
          <w:sz w:val="20"/>
          <w:szCs w:val="20"/>
          <w:color w:val="auto"/>
        </w:rPr>
      </w:pPr>
    </w:p>
    <w:p>
      <w:pPr>
        <w:spacing w:after="0" w:line="2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Stoel Rives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760 SW Ninth Avenue, Suite 3000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Portland, Oregon 97205</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Brant J. Norquist</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Facsimile No: (503) 220-2480</w:t>
      </w:r>
    </w:p>
    <w:p>
      <w:pPr>
        <w:spacing w:after="0" w:line="221" w:lineRule="exact"/>
        <w:rPr>
          <w:sz w:val="20"/>
          <w:szCs w:val="20"/>
          <w:color w:val="auto"/>
        </w:rPr>
      </w:pPr>
    </w:p>
    <w:p>
      <w:pPr>
        <w:ind w:left="660" w:firstLine="644"/>
        <w:spacing w:after="0"/>
        <w:tabs>
          <w:tab w:leader="none" w:pos="1955" w:val="left"/>
        </w:tabs>
        <w:numPr>
          <w:ilvl w:val="0"/>
          <w:numId w:val="1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BMO in its capacity as the Administrative Agent, or Bank of Montreal, in its capacity as the Swingline Lender or as an Issuing Bank, at the following address:</w:t>
      </w:r>
    </w:p>
    <w:p>
      <w:pPr>
        <w:spacing w:after="0" w:line="16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BMO Commercial Bank</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142 E 200 S Floor 2</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Salt Lake City, UT 84111</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Karlee Page, Vice President</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Phone: (480) 268-6610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Karlee.Page@bmo.com</w:t>
      </w:r>
    </w:p>
    <w:p>
      <w:pPr>
        <w:spacing w:after="0" w:line="200" w:lineRule="exact"/>
        <w:rPr>
          <w:sz w:val="20"/>
          <w:szCs w:val="20"/>
          <w:color w:val="auto"/>
        </w:rPr>
      </w:pPr>
    </w:p>
    <w:p>
      <w:pPr>
        <w:spacing w:after="0" w:line="25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Buchalter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1000 Wilshire Blvd, Suite 1500</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Los Angeles, CA 90017</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Robert Gillison</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rgillison@buchalter.com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960" w:hanging="656"/>
        <w:spacing w:after="0"/>
        <w:tabs>
          <w:tab w:leader="none" w:pos="1960" w:val="left"/>
        </w:tabs>
        <w:numPr>
          <w:ilvl w:val="0"/>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to any other Lender or Issuing Bank, to it at its address or fax number set forth in its Administrative Questionnaire.</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not given during normal business hours for the recipient, such notice or communication shall be deemed to have been given at the opening of business on the next Business Day of the recipient, or (iii) delivered through any Electronic Systems or Approved Electronic Platforms, as applicable, to the extent provided in paragraph (b) below shall be effective as provided in such paragraph (b).</w:t>
      </w:r>
    </w:p>
    <w:p>
      <w:pPr>
        <w:spacing w:after="0" w:line="178" w:lineRule="exact"/>
        <w:rPr>
          <w:sz w:val="20"/>
          <w:szCs w:val="20"/>
          <w:color w:val="auto"/>
        </w:rPr>
      </w:pPr>
    </w:p>
    <w:p>
      <w:pPr>
        <w:jc w:val="both"/>
        <w:ind w:firstLine="656"/>
        <w:spacing w:after="0" w:line="224" w:lineRule="auto"/>
        <w:tabs>
          <w:tab w:leader="none" w:pos="1284" w:val="left"/>
        </w:tabs>
        <w:numPr>
          <w:ilvl w:val="0"/>
          <w:numId w:val="1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Notices and other communications to any Loan Party or any Lender hereunder may be delivered or furnished by using Electronic Systems or Approved Electronic Platforms, as applicable, or pursuant to procedures approved by the Administrative Agent; provided that the foregoing shall not apply to notices pursuant to Article II or to compliance and no Default certificates delivered pursuant to Section 5.01(c) unless otherwise agreed by the Administrative Agent and the applicable Lender. Each of the Administrative Agent and the Borrower (on behalf of the Loan Parties) may, in its discretion, agree to accept notices and other communications to it hereunder by using Electronic Systems or Approved Electronic Platforms, as applicable,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40" w:right="339" w:bottom="1440" w:gutter="0" w:footer="0" w:header="0"/>
          <w:type w:val="continuous"/>
        </w:sectPr>
      </w:pPr>
    </w:p>
    <w:bookmarkStart w:id="116" w:name="page117"/>
    <w:bookmarkEnd w:id="116"/>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provided that if not given during the normal business hours of the recipient, such notice or communication shall be deemed to have been</w:t>
      </w:r>
    </w:p>
    <w:p>
      <w:pPr>
        <w:spacing w:after="0" w:line="204" w:lineRule="auto"/>
        <w:rPr>
          <w:sz w:val="20"/>
          <w:szCs w:val="20"/>
          <w:color w:val="auto"/>
        </w:rPr>
      </w:pPr>
      <w:r>
        <w:rPr>
          <w:rFonts w:ascii="Times New Roman" w:cs="Times New Roman" w:eastAsia="Times New Roman" w:hAnsi="Times New Roman"/>
          <w:sz w:val="20"/>
          <w:szCs w:val="20"/>
          <w:color w:val="auto"/>
        </w:rPr>
        <w:t>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w:t>
      </w:r>
    </w:p>
    <w:p>
      <w:pPr>
        <w:spacing w:after="0" w:line="211" w:lineRule="auto"/>
        <w:rPr>
          <w:sz w:val="20"/>
          <w:szCs w:val="20"/>
          <w:color w:val="auto"/>
        </w:rPr>
      </w:pPr>
      <w:r>
        <w:rPr>
          <w:rFonts w:ascii="Times New Roman" w:cs="Times New Roman" w:eastAsia="Times New Roman" w:hAnsi="Times New Roman"/>
          <w:sz w:val="20"/>
          <w:szCs w:val="20"/>
          <w:color w:val="auto"/>
        </w:rPr>
        <w:t>such notice or communication is available and identifying the website address therefor; provided that, for both clauses (i) and (ii) above, if</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such notice, e-mail or other communication is not sent during the normal business hours of the recipient, such notice or communication shall be deemed to have been sent at the opening of business on the next Business Day of the recipient.</w:t>
      </w:r>
    </w:p>
    <w:p>
      <w:pPr>
        <w:spacing w:after="0" w:line="162" w:lineRule="exact"/>
        <w:rPr>
          <w:sz w:val="20"/>
          <w:szCs w:val="20"/>
          <w:color w:val="auto"/>
        </w:rPr>
      </w:pPr>
    </w:p>
    <w:p>
      <w:pPr>
        <w:ind w:firstLine="656"/>
        <w:spacing w:after="0"/>
        <w:tabs>
          <w:tab w:leader="none" w:pos="1286" w:val="left"/>
        </w:tabs>
        <w:numPr>
          <w:ilvl w:val="0"/>
          <w:numId w:val="1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party hereto may change its address, facsimile number or e-mail address for notices and other communications hereunder by notice to the other parties hereto.</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u w:val="single" w:color="auto"/>
          <w:color w:val="auto"/>
        </w:rPr>
        <w:t>Waivers; Amendments</w:t>
      </w:r>
      <w:r>
        <w:rPr>
          <w:rFonts w:ascii="Times New Roman" w:cs="Times New Roman" w:eastAsia="Times New Roman" w:hAnsi="Times New Roman"/>
          <w:sz w:val="19"/>
          <w:szCs w:val="19"/>
          <w:color w:val="auto"/>
        </w:rPr>
        <w:t>.</w:t>
      </w:r>
    </w:p>
    <w:p>
      <w:pPr>
        <w:jc w:val="both"/>
        <w:ind w:firstLine="656"/>
        <w:spacing w:after="0" w:line="210" w:lineRule="auto"/>
        <w:tabs>
          <w:tab w:leader="none" w:pos="1286" w:val="left"/>
        </w:tabs>
        <w:numPr>
          <w:ilvl w:val="1"/>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52" w:lineRule="exact"/>
        <w:rPr>
          <w:rFonts w:ascii="Times New Roman" w:cs="Times New Roman" w:eastAsia="Times New Roman" w:hAnsi="Times New Roman"/>
          <w:sz w:val="20"/>
          <w:szCs w:val="20"/>
          <w:color w:val="010000"/>
        </w:rPr>
      </w:pPr>
    </w:p>
    <w:p>
      <w:pPr>
        <w:jc w:val="both"/>
        <w:ind w:firstLine="656"/>
        <w:spacing w:after="0" w:line="219" w:lineRule="auto"/>
        <w:tabs>
          <w:tab w:leader="none" w:pos="1284" w:val="left"/>
        </w:tabs>
        <w:numPr>
          <w:ilvl w:val="1"/>
          <w:numId w:val="1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provided in Section 2.09 with respect to any Incremental Facility Amendment or modification of the </w:t>
      </w:r>
      <w:r>
        <w:rPr>
          <w:rFonts w:ascii="Times New Roman" w:cs="Times New Roman" w:eastAsia="Times New Roman" w:hAnsi="Times New Roman"/>
          <w:sz w:val="19"/>
          <w:szCs w:val="19"/>
          <w:u w:val="single" w:color="auto"/>
          <w:color w:val="auto"/>
        </w:rPr>
        <w:t>Commitment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and subject to Sections 2.14(b) and (c) and Sections 9.02(c) and (e),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agreement shall (A) increase the Revolving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(B)), (C) postpone any scheduled date of payment of the principal amount of any Loan or LC Disbursement, or any date for the payment of any interest, fees or other Secured Obligations payable hereunder, or reduce the amount of, waive or excuse any such payment, or postpone the scheduled date of expiration of any Revolving Commitment, without the written consent of each Lender (including any such Lender that is a Defaulting Lender) directly affected thereby, (D) change Section 2.09(d) or Section 2.18(b) or (d) or any other provision hereof in a manner that would have the effect of altering the ratable reduction of Revolving Commitments or the manner in which payments are shared, without the written consent of each Lender (other than any Defaulting Lender),</w:t>
      </w:r>
    </w:p>
    <w:p>
      <w:pPr>
        <w:spacing w:after="0" w:line="4" w:lineRule="exact"/>
        <w:rPr>
          <w:rFonts w:ascii="Times New Roman" w:cs="Times New Roman" w:eastAsia="Times New Roman" w:hAnsi="Times New Roman"/>
          <w:sz w:val="19"/>
          <w:szCs w:val="19"/>
          <w:color w:val="010000"/>
        </w:rPr>
      </w:pPr>
    </w:p>
    <w:p>
      <w:pPr>
        <w:jc w:val="both"/>
        <w:ind w:firstLine="8"/>
        <w:spacing w:after="0" w:line="212" w:lineRule="auto"/>
        <w:tabs>
          <w:tab w:leader="none" w:pos="329"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(it being understood that, solely with the consent of the parties prescribed by Section 2.09 to be parties to an Incremental Facility Amendment, Incremental Term Loans and additional Revolving Commitments may be included in the determination of Required Lenders on substantially the same basis as the initial Revolving Commitments and Loans are included on the Effective Date), (F) release the Borrower or release any Loan Guarantor from its obligation under its Loan Guaranty (except as otherwise permitted herein or in the other Loan Documents), without the written consent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(other than any Defaulting Lender), (G) except as provided in clause (c) of this Section or in any Collateral Document, release all or</w:t>
      </w:r>
    </w:p>
    <w:p>
      <w:pPr>
        <w:spacing w:after="0" w:line="204" w:lineRule="auto"/>
        <w:rPr>
          <w:sz w:val="20"/>
          <w:szCs w:val="20"/>
          <w:color w:val="auto"/>
        </w:rPr>
      </w:pPr>
      <w:r>
        <w:rPr>
          <w:rFonts w:ascii="Times New Roman" w:cs="Times New Roman" w:eastAsia="Times New Roman" w:hAnsi="Times New Roman"/>
          <w:sz w:val="20"/>
          <w:szCs w:val="20"/>
          <w:color w:val="auto"/>
        </w:rPr>
        <w:t>substantially all of the Collateral without the written consent of each Lender (other than any Defaulting Lender), (H) change Section 1.11 or change the status of any Lender from a Non-Global Lender to a Global Lender, or from a Global Lender to a Non-Global Lender, in each</w:t>
      </w:r>
    </w:p>
    <w:p>
      <w:pPr>
        <w:spacing w:after="0" w:line="223" w:lineRule="auto"/>
        <w:rPr>
          <w:sz w:val="20"/>
          <w:szCs w:val="20"/>
          <w:color w:val="auto"/>
        </w:rPr>
      </w:pPr>
      <w:r>
        <w:rPr>
          <w:rFonts w:ascii="Times New Roman" w:cs="Times New Roman" w:eastAsia="Times New Roman" w:hAnsi="Times New Roman"/>
          <w:sz w:val="19"/>
          <w:szCs w:val="19"/>
          <w:color w:val="auto"/>
        </w:rPr>
        <w:t>case, without the consent of each Lender directly affected thereby (I) add a Foreign Currency or a borrower that is a Foreign Subsidiary or (J)</w:t>
      </w:r>
    </w:p>
    <w:p>
      <w:pPr>
        <w:spacing w:after="0" w:line="215" w:lineRule="auto"/>
        <w:rPr>
          <w:sz w:val="20"/>
          <w:szCs w:val="20"/>
          <w:color w:val="auto"/>
        </w:rPr>
      </w:pPr>
      <w:r>
        <w:rPr>
          <w:rFonts w:ascii="Times New Roman" w:cs="Times New Roman" w:eastAsia="Times New Roman" w:hAnsi="Times New Roman"/>
          <w:sz w:val="19"/>
          <w:szCs w:val="19"/>
          <w:color w:val="auto"/>
        </w:rPr>
        <w:t>without the prior written consent of each Lender directly and adversely affected thereby, (x) subordinate, or have the effect of subordinating, the Obligations hereunder to any other Indebtedness, or (y) subordinate, or have the effect of subordinating, the Liens securing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Obligations to Liens securing any other Indebtedness, in each case, without the consent of each Lender directly affected thereby; </w:t>
      </w:r>
      <w:r>
        <w:rPr>
          <w:rFonts w:ascii="Times New Roman" w:cs="Times New Roman" w:eastAsia="Times New Roman" w:hAnsi="Times New Roman"/>
          <w:sz w:val="20"/>
          <w:szCs w:val="20"/>
          <w:u w:val="single" w:color="auto"/>
          <w:color w:val="auto"/>
        </w:rPr>
        <w:t>provided</w:t>
      </w:r>
    </w:p>
    <w:p>
      <w:pPr>
        <w:ind w:right="20"/>
        <w:spacing w:after="0" w:line="215" w:lineRule="auto"/>
        <w:rPr>
          <w:sz w:val="20"/>
          <w:szCs w:val="20"/>
          <w:color w:val="auto"/>
        </w:rPr>
      </w:pP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 such agreement shall amend, modify or otherwise affect the rights or duties of the Administrative Agent, the Swingline Lender or the Issuing Bank hereunder without the prior written consent of the Administrative Agent, the Swingline Lender or the Issuing Bank, as</w:t>
      </w:r>
    </w:p>
    <w:p>
      <w:pPr>
        <w:spacing w:after="0" w:line="211" w:lineRule="auto"/>
        <w:rPr>
          <w:sz w:val="20"/>
          <w:szCs w:val="20"/>
          <w:color w:val="auto"/>
        </w:rPr>
      </w:pPr>
      <w:r>
        <w:rPr>
          <w:rFonts w:ascii="Times New Roman" w:cs="Times New Roman" w:eastAsia="Times New Roman" w:hAnsi="Times New Roman"/>
          <w:sz w:val="20"/>
          <w:szCs w:val="20"/>
          <w:color w:val="auto"/>
        </w:rPr>
        <w:t>the case may be (it being understood that any amendment to Section 2.20 shall require the consent of the Administrative Agent, the</w:t>
      </w:r>
    </w:p>
    <w:p>
      <w:pPr>
        <w:spacing w:after="0" w:line="204" w:lineRule="auto"/>
        <w:rPr>
          <w:sz w:val="20"/>
          <w:szCs w:val="20"/>
          <w:color w:val="auto"/>
        </w:rPr>
      </w:pPr>
      <w:r>
        <w:rPr>
          <w:rFonts w:ascii="Times New Roman" w:cs="Times New Roman" w:eastAsia="Times New Roman" w:hAnsi="Times New Roman"/>
          <w:sz w:val="20"/>
          <w:szCs w:val="20"/>
          <w:color w:val="auto"/>
        </w:rPr>
        <w:t>Swingline Lender and the Issuing Bank); provided further that no such agreement shall amend or modify the provisions of Section 2.06 or any Letter of Credit Agreement or any letter of credit application and any bilateral agreement between the Borrower and the Issuing Bank</w:t>
      </w:r>
    </w:p>
    <w:p>
      <w:pPr>
        <w:spacing w:after="0" w:line="211" w:lineRule="auto"/>
        <w:rPr>
          <w:sz w:val="20"/>
          <w:szCs w:val="20"/>
          <w:color w:val="auto"/>
        </w:rPr>
      </w:pPr>
      <w:r>
        <w:rPr>
          <w:rFonts w:ascii="Times New Roman" w:cs="Times New Roman" w:eastAsia="Times New Roman" w:hAnsi="Times New Roman"/>
          <w:sz w:val="20"/>
          <w:szCs w:val="20"/>
          <w:color w:val="auto"/>
        </w:rPr>
        <w:t>regarding the Issuing Bank’s Issuing Bank Sublimit or the respective rights and obligations between the Borrower and the Issuing Bank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connection with the issuance of Letters of Credit without the prior written consent of the Administrative Agent and the Issuing Bank, respectively. The Administrative Agent may also amend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to reflect assignments entered into pursuant to Section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9.04.</w:t>
      </w:r>
    </w:p>
    <w:p>
      <w:pPr>
        <w:spacing w:after="0" w:line="167" w:lineRule="exact"/>
        <w:rPr>
          <w:sz w:val="20"/>
          <w:szCs w:val="20"/>
          <w:color w:val="auto"/>
        </w:rPr>
      </w:pPr>
    </w:p>
    <w:p>
      <w:pPr>
        <w:jc w:val="both"/>
        <w:ind w:firstLine="656"/>
        <w:spacing w:after="0" w:line="208" w:lineRule="auto"/>
        <w:tabs>
          <w:tab w:leader="none" w:pos="1286" w:val="left"/>
        </w:tabs>
        <w:numPr>
          <w:ilvl w:val="0"/>
          <w:numId w:val="1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Secured Parties hereby irrevocably authorize the Administrative Agent (or its designee), at its option and in its sole discretion, to release any Liens granted to the Administrative Agent by the Loan Parties on any Collateral (i) upon the Payment in Full of all Secured Obligations, and the cash collateralization of all Unliquidated Obligations in a manner satisfactory to each affected Lender, (ii) constituting property being Disposed of if the Loan Party Disposing of such property certifies to the Administrative Agent that the Disposition is made in compliance with the terms of this Agreement (and the Administrative Agent may rely conclusively on any such certificate, without further inquiry), and to the extent that the property being Disposed of constitutes 100% of the Equity Interests of a Subsidiary, the Administrative Agent is authorized to release the Loan Guaranty provided by such Subsidiary, (iii) constituting property leased to a Loan Party under a lease which has expired or been terminated in a transaction permitted under this Agreement, or (iv) as required to effect any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or, to the extent required by Section 9.02(b), all of the Lenders. Any such release shall not in any manner discharge, affect, or impair the Secured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 In addition, each of the Secured Parties, on behalf of itself and any of its Affiliates that are Secured Parties, irrevocably authorizes the Administrative Agent (or its designee), at its option and in its discretion, (x) to subordinate any Lien on any assets granted to or held by the Administrative Agent under any Loan Document to the holder of any Lien on such property that is permitted by Section 6.02(b), 6.02(d) or 6.02(i), or (y) in the event that the Borrower shall have advised the Administrative Agent that, notwithstanding the use by the Borrower of commercially reasonable efforts to obtain the consent of such holder (but without the requirement to pay any sums to obtain such consent) to permit the Administrative Agent to retain its liens (on a subordinated basis as contemplated by clause (x) above), the holder of such other Indebtedness requires, as a condition to the extension of such credit, that the Liens on such assets granted to or held by the Administrative Agent under any Loan Document be released, to release the Administrative Agent’s Liens on such assets.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76" w:lineRule="exact"/>
        <w:rPr>
          <w:sz w:val="20"/>
          <w:szCs w:val="20"/>
          <w:color w:val="auto"/>
        </w:rPr>
      </w:pPr>
    </w:p>
    <w:p>
      <w:pPr>
        <w:jc w:val="both"/>
        <w:ind w:firstLine="656"/>
        <w:spacing w:after="0" w:line="209" w:lineRule="auto"/>
        <w:tabs>
          <w:tab w:leader="none" w:pos="1284" w:val="left"/>
        </w:tabs>
        <w:numPr>
          <w:ilvl w:val="0"/>
          <w:numId w:val="1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then the Borrower may elect to replace a Non-Consenting Lender as a Lender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concurrently with such replacement, (i) another bank or other entity (other than any Ineligible Institution) which is reasonably satisfactory to the Borrower, the Administrative Agent, the Swingline Lender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68"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86" w:val="left"/>
        </w:tabs>
        <w:numPr>
          <w:ilvl w:val="0"/>
          <w:numId w:val="1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u w:val="single" w:color="auto"/>
          <w:color w:val="auto"/>
        </w:rPr>
        <w:t>Expenses; Limitation of Liability; Indemnity; Etc</w:t>
      </w:r>
      <w:r>
        <w:rPr>
          <w:rFonts w:ascii="Times New Roman" w:cs="Times New Roman" w:eastAsia="Times New Roman" w:hAnsi="Times New Roman"/>
          <w:sz w:val="19"/>
          <w:szCs w:val="19"/>
          <w:color w:val="auto"/>
        </w:rPr>
        <w:t>.</w:t>
      </w:r>
    </w:p>
    <w:p>
      <w:pPr>
        <w:jc w:val="both"/>
        <w:ind w:firstLine="656"/>
        <w:spacing w:after="0" w:line="209" w:lineRule="auto"/>
        <w:tabs>
          <w:tab w:leader="none" w:pos="1286"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Loan Parties, jointly and severally, shall pay all (i) reasonable and documented out-of-pocket expenses incurred by the Administrative Agent and its Affiliates, including the reasonable and documented fees, charges and disbursements of counsel for the Administrative Agent, in connection with the syndication and distribution (including, without limitation, via the internet or through an Electronic System or Approved Electronic Platform) of the credit facility provided for herein, the preparation and administration of the Loan Documents (subject to any cap that may be separately agreed between the Borrower and the Administrative Agent in any engagement letter executed in connection with this Agreement) and any amendments, modifications or waivers of the provisions of the Loan Documents (whether or not the transactions contemplated hereby or thereby shall be consummated), (ii) reasonable and documented out-of-pocket expenses incurred by the Issuing Bank in connection with the issuance, amendment, renewal or extension of any Letter of Credit or any demand for payment thereunder and (iii) reasonable and documented out-of-pocket expenses incurred by the Administrative Agent, the Issuing Bank or any Lender, including the fees, charges and disbursements of any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68"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284"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To the extent permitted by applicable law (i) neither the Borrower nor any other Loan Party shall assert, and the Borrower and each other Loan Party hereby waives, any claim against the Administrative Agent, the Arrangers, the Syndication Agents, the Issuing Bank and any Lender, and any Related Party of any of the foregoing Persons (each such Person being called a “</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for any Liabilities arising from the use by others of information or other materials (including, without limitation, any personal data) obtained through telecommunications,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7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electronic or other information transmission systems (including the Internet), except to the extent they are found by a final, non-appealable judgment of a court of competent jurisdiction to result from the willful misconduct or gross negligence of such Lender-Related Person and</w:t>
      </w:r>
    </w:p>
    <w:p>
      <w:pPr>
        <w:spacing w:after="0" w:line="1" w:lineRule="exact"/>
        <w:rPr>
          <w:sz w:val="20"/>
          <w:szCs w:val="20"/>
          <w:color w:val="auto"/>
        </w:rPr>
      </w:pPr>
    </w:p>
    <w:p>
      <w:pPr>
        <w:jc w:val="both"/>
        <w:ind w:firstLine="8"/>
        <w:spacing w:after="0" w:line="214" w:lineRule="auto"/>
        <w:tabs>
          <w:tab w:leader="none" w:pos="30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9.03(b) shall relieve the Borrower or any other Loan Party of any obligation it may have to indemnify an Indemnitee, as provided in Section 9.03(c), against any special, indirect, consequential or punitive damages asserted against such Indemnitee by a third party.</w:t>
      </w:r>
    </w:p>
    <w:p>
      <w:pPr>
        <w:spacing w:after="0" w:line="151" w:lineRule="exact"/>
        <w:rPr>
          <w:rFonts w:ascii="Times New Roman" w:cs="Times New Roman" w:eastAsia="Times New Roman" w:hAnsi="Times New Roman"/>
          <w:sz w:val="20"/>
          <w:szCs w:val="20"/>
          <w:color w:val="auto"/>
        </w:rPr>
      </w:pPr>
    </w:p>
    <w:p>
      <w:pPr>
        <w:jc w:val="both"/>
        <w:ind w:firstLine="656"/>
        <w:spacing w:after="0" w:line="221" w:lineRule="auto"/>
        <w:tabs>
          <w:tab w:leader="none" w:pos="1286" w:val="left"/>
        </w:tabs>
        <w:numPr>
          <w:ilvl w:val="1"/>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 The Loan Parties, jointly and severally, shall indemnify the Administrative Agent, the Arrangers, the Syndication Agents, the Issuing Bank and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(iv) the failure of a Loan Party to deliver to the Administrative Agent the required receipts or other required documentary evidence with respect to a payment made by such Loan Party for Taxes pursuant to Section 2.17, or (v)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provided that such indemnity shall not, as to any Indemnitee, be available to the extent that such Liabilities or related expenses (x) are determined by a court of competent jurisdiction by final and non-appealable judgment to have resulted from the gross negligence or willful misconduct of such Indemnitee, (y) arise from the material breach by an Indemnitee of its obligations under the Loan Documents, or (z) arise from a dispute solely among the Indemnitees (other than any claims against an Indemnitee in its capacity as an Arranger, a Syndication Agent, Administrative Agent, Swingline Lender or Issuing Bank) that does not involve an act or omission by any Loan Party or any of its Subsidiaries. This Section 9.03(b) shall not apply with respect to Taxes other than any Taxes that represent losses, claims or damages arising from any non-Tax claim.</w:t>
      </w:r>
    </w:p>
    <w:p>
      <w:pPr>
        <w:spacing w:after="0" w:line="147" w:lineRule="exact"/>
        <w:rPr>
          <w:rFonts w:ascii="Times New Roman" w:cs="Times New Roman" w:eastAsia="Times New Roman" w:hAnsi="Times New Roman"/>
          <w:sz w:val="19"/>
          <w:szCs w:val="19"/>
          <w:color w:val="010000"/>
        </w:rPr>
      </w:pPr>
    </w:p>
    <w:p>
      <w:pPr>
        <w:jc w:val="both"/>
        <w:ind w:firstLine="656"/>
        <w:spacing w:after="0" w:line="211" w:lineRule="auto"/>
        <w:tabs>
          <w:tab w:leader="none" w:pos="1284" w:val="left"/>
        </w:tabs>
        <w:numPr>
          <w:ilvl w:val="1"/>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Lender Reimbursement</w:t>
      </w:r>
      <w:r>
        <w:rPr>
          <w:rFonts w:ascii="Times New Roman" w:cs="Times New Roman" w:eastAsia="Times New Roman" w:hAnsi="Times New Roman"/>
          <w:sz w:val="20"/>
          <w:szCs w:val="20"/>
          <w:color w:val="auto"/>
        </w:rPr>
        <w:t xml:space="preserve">. Each Lender severally agrees to pay any amount required to be paid by any Loan Party under paragraphs (a), (b) or (c) of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to the Administrative Agent, the Swingline Lender and the Issuing Bank, and each Related Party of any of the foregoing Persons (each, an “</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xml:space="preserve">”) (to the extent not reimbursed by the Loan Parties and without limiting the obligation of any Loan Party to do so), ratably according to their respective Applicable Percentage in effect on the date on which such payment is sought under this Section (or, if such payment is sought after the date upon which the Revolving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Revolving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Lender shall be liable for the payment of any portion of such Liabilities, costs, expenses or disbursements that are found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final and non-appealable decision of a court of competent jurisdiction to have resulted primarily from such Agent-Related Person’s gross</w:t>
      </w:r>
    </w:p>
    <w:p>
      <w:pPr>
        <w:spacing w:after="0" w:line="221" w:lineRule="auto"/>
        <w:rPr>
          <w:sz w:val="20"/>
          <w:szCs w:val="20"/>
          <w:color w:val="auto"/>
        </w:rPr>
      </w:pPr>
      <w:r>
        <w:rPr>
          <w:rFonts w:ascii="Times New Roman" w:cs="Times New Roman" w:eastAsia="Times New Roman" w:hAnsi="Times New Roman"/>
          <w:sz w:val="20"/>
          <w:szCs w:val="20"/>
          <w:color w:val="auto"/>
        </w:rPr>
        <w:t>negligence or willful misconduct. The agreements in this Section shall survive the termination of this Agreement and Payment in Full of the Secured Obligations.</w:t>
      </w:r>
    </w:p>
    <w:p>
      <w:pPr>
        <w:spacing w:after="0" w:line="162" w:lineRule="exact"/>
        <w:rPr>
          <w:sz w:val="20"/>
          <w:szCs w:val="20"/>
          <w:color w:val="auto"/>
        </w:rPr>
      </w:pPr>
    </w:p>
    <w:p>
      <w:pPr>
        <w:ind w:left="1300" w:hanging="644"/>
        <w:spacing w:after="0"/>
        <w:tabs>
          <w:tab w:leader="none" w:pos="1300" w:val="left"/>
        </w:tabs>
        <w:numPr>
          <w:ilvl w:val="0"/>
          <w:numId w:val="1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9.03 shall be payable promptly after written demand therefor.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p>
    <w:p>
      <w:pPr>
        <w:jc w:val="both"/>
        <w:ind w:firstLine="656"/>
        <w:spacing w:after="0" w:line="212" w:lineRule="auto"/>
        <w:tabs>
          <w:tab w:leader="none" w:pos="1286" w:val="left"/>
        </w:tabs>
        <w:numPr>
          <w:ilvl w:val="0"/>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provisions of this Agreement shall be binding upon and inure to the benefit of the parties hereto and their respective successors and assigns permitted hereby (including any Affiliate of the Issuing Bank that issues any Letter of Credit), except that (i) no Loan Party may assign or otherwise transfer any of its rights or obligations hereunder without the prior written consent of each Lender (and any attempted assignment or transfer by any Loan Party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47"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4" w:val="left"/>
        </w:tabs>
        <w:numPr>
          <w:ilvl w:val="0"/>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Subject to the conditions set forth in paragraph (b)(ii) below, any Lender may assign to one or more Persons (other than an Ineligible Institution) all or a portion of its rights and obligations under this Agreement (including all or a portion of its Revolving Commitment, participations in Letters of Credit and the Loans at the time owing to it) with the prior written consent (such consent not to be unreasonably withheld) of:</w:t>
      </w:r>
    </w:p>
    <w:p>
      <w:pPr>
        <w:spacing w:after="0" w:line="161" w:lineRule="exact"/>
        <w:rPr>
          <w:rFonts w:ascii="Times New Roman" w:cs="Times New Roman" w:eastAsia="Times New Roman" w:hAnsi="Times New Roman"/>
          <w:sz w:val="20"/>
          <w:szCs w:val="20"/>
          <w:color w:val="010000"/>
        </w:rPr>
      </w:pPr>
    </w:p>
    <w:p>
      <w:pPr>
        <w:jc w:val="both"/>
        <w:ind w:left="1300" w:firstLine="652"/>
        <w:spacing w:after="0" w:line="217" w:lineRule="auto"/>
        <w:tabs>
          <w:tab w:leader="none" w:pos="2587" w:val="left"/>
        </w:tabs>
        <w:numPr>
          <w:ilvl w:val="2"/>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 assignment of all or a portion of the Revolving Loans and Revolving Commitments unless it shall object thereto by written notice to the Administrative Agent within ten (10) Business Days after having received notice thereof,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consent of the Borrower shall be required for an assignment to a Lender, an Affiliate of a Lender, an Approved Fund or, if an Event of Default has occurred and is continuing, any other assignee;</w:t>
      </w:r>
    </w:p>
    <w:p>
      <w:pPr>
        <w:spacing w:after="0" w:line="161" w:lineRule="exact"/>
        <w:rPr>
          <w:rFonts w:ascii="Times New Roman" w:cs="Times New Roman" w:eastAsia="Times New Roman" w:hAnsi="Times New Roman"/>
          <w:sz w:val="20"/>
          <w:szCs w:val="20"/>
          <w:color w:val="010000"/>
        </w:rPr>
      </w:pPr>
    </w:p>
    <w:p>
      <w:pPr>
        <w:jc w:val="both"/>
        <w:ind w:left="1300" w:firstLine="652"/>
        <w:spacing w:after="0" w:line="226" w:lineRule="auto"/>
        <w:tabs>
          <w:tab w:leader="none" w:pos="2590" w:val="left"/>
        </w:tabs>
        <w:numPr>
          <w:ilvl w:val="2"/>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to an assignee that is a Lender (other than a Defaulting Lender) with a Revolving Commitment immediately prior to giving effect to such assignment;</w:t>
      </w:r>
    </w:p>
    <w:p>
      <w:pPr>
        <w:spacing w:after="0" w:line="160" w:lineRule="exact"/>
        <w:rPr>
          <w:rFonts w:ascii="Times New Roman" w:cs="Times New Roman" w:eastAsia="Times New Roman" w:hAnsi="Times New Roman"/>
          <w:sz w:val="20"/>
          <w:szCs w:val="20"/>
          <w:color w:val="010000"/>
        </w:rPr>
      </w:pPr>
    </w:p>
    <w:p>
      <w:pPr>
        <w:jc w:val="both"/>
        <w:ind w:left="1300" w:firstLine="652"/>
        <w:spacing w:after="0" w:line="226" w:lineRule="auto"/>
        <w:tabs>
          <w:tab w:leader="none" w:pos="2590" w:val="left"/>
        </w:tabs>
        <w:numPr>
          <w:ilvl w:val="2"/>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Issuing Bank shall be required for an assignment to (x) an assignee that is a Lender (other than a Defaulting Lender) with a Revolving Commitment immediately prior to giving effect to such assignment, or (y) an assignee that is an Affiliate of the assigning Lender or an Approved Fund; and</w:t>
      </w:r>
    </w:p>
    <w:p>
      <w:pPr>
        <w:spacing w:after="0" w:line="160" w:lineRule="exact"/>
        <w:rPr>
          <w:rFonts w:ascii="Times New Roman" w:cs="Times New Roman" w:eastAsia="Times New Roman" w:hAnsi="Times New Roman"/>
          <w:sz w:val="20"/>
          <w:szCs w:val="20"/>
          <w:color w:val="010000"/>
        </w:rPr>
      </w:pPr>
    </w:p>
    <w:p>
      <w:pPr>
        <w:jc w:val="both"/>
        <w:ind w:left="1300" w:firstLine="652"/>
        <w:spacing w:after="0" w:line="226" w:lineRule="auto"/>
        <w:tabs>
          <w:tab w:leader="none" w:pos="2587" w:val="left"/>
        </w:tabs>
        <w:numPr>
          <w:ilvl w:val="2"/>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Swingline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Swingline Lender shall be required for an assignment to (x) an assignee that is a Lender (other than a Defaulting Lender) with a Revolving Commitment immediately prior to giving effect to such assignment, or (y) an assignee that is an Affiliate of the assigning Lender or an Approved Fund.</w:t>
      </w:r>
    </w:p>
    <w:p>
      <w:pPr>
        <w:spacing w:after="0" w:line="160"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Assignments shall be subject to the following additional conditions:</w:t>
      </w:r>
    </w:p>
    <w:p>
      <w:pPr>
        <w:spacing w:after="0" w:line="188" w:lineRule="exact"/>
        <w:rPr>
          <w:rFonts w:ascii="Times New Roman" w:cs="Times New Roman" w:eastAsia="Times New Roman" w:hAnsi="Times New Roman"/>
          <w:sz w:val="20"/>
          <w:szCs w:val="20"/>
          <w:color w:val="010000"/>
        </w:rPr>
      </w:pPr>
    </w:p>
    <w:p>
      <w:pPr>
        <w:jc w:val="both"/>
        <w:ind w:left="1300" w:firstLine="652"/>
        <w:spacing w:after="0" w:line="226" w:lineRule="auto"/>
        <w:tabs>
          <w:tab w:leader="none" w:pos="2587" w:val="left"/>
        </w:tabs>
        <w:numPr>
          <w:ilvl w:val="2"/>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in the case of an assignment to a Lender or an Affiliate of a Lender or an Approved Fund or an assignment of the entire remaining amount of the assigning Lender’s Revolving Commitment or Loans, the amount of the Revolving Commitment or Loans of the assigning Lender subject to each such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(determined as of the date the Assignment and Assumption with respect to such assignment is delivered to the</w:t>
      </w:r>
    </w:p>
    <w:p>
      <w:pPr>
        <w:ind w:left="1300"/>
        <w:spacing w:after="0" w:line="215" w:lineRule="auto"/>
        <w:rPr>
          <w:sz w:val="20"/>
          <w:szCs w:val="20"/>
          <w:color w:val="auto"/>
        </w:rPr>
      </w:pPr>
      <w:r>
        <w:rPr>
          <w:rFonts w:ascii="Times New Roman" w:cs="Times New Roman" w:eastAsia="Times New Roman" w:hAnsi="Times New Roman"/>
          <w:sz w:val="19"/>
          <w:szCs w:val="19"/>
          <w:color w:val="auto"/>
        </w:rPr>
        <w:t xml:space="preserve">Administrative Agent) shall not be less than $5,000,000 unless each of the Borrower and the Administrative Agent otherwise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consent of the Borrower shall be required if an Event of Default has occurred and is</w:t>
      </w:r>
    </w:p>
    <w:p>
      <w:pPr>
        <w:ind w:left="1300"/>
        <w:spacing w:after="0"/>
        <w:rPr>
          <w:sz w:val="20"/>
          <w:szCs w:val="20"/>
          <w:color w:val="auto"/>
        </w:rPr>
      </w:pPr>
      <w:r>
        <w:rPr>
          <w:rFonts w:ascii="Times New Roman" w:cs="Times New Roman" w:eastAsia="Times New Roman" w:hAnsi="Times New Roman"/>
          <w:sz w:val="20"/>
          <w:szCs w:val="20"/>
          <w:color w:val="auto"/>
        </w:rPr>
        <w:t>continuing;</w:t>
      </w:r>
    </w:p>
    <w:p>
      <w:pPr>
        <w:spacing w:after="0" w:line="167" w:lineRule="exact"/>
        <w:rPr>
          <w:sz w:val="20"/>
          <w:szCs w:val="20"/>
          <w:color w:val="auto"/>
        </w:rPr>
      </w:pPr>
    </w:p>
    <w:p>
      <w:pPr>
        <w:ind w:left="1300" w:firstLine="652"/>
        <w:spacing w:after="0" w:line="233" w:lineRule="auto"/>
        <w:tabs>
          <w:tab w:leader="none" w:pos="2590" w:val="left"/>
        </w:tabs>
        <w:numPr>
          <w:ilvl w:val="0"/>
          <w:numId w:val="1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partial assignment shall be made as an assignment of a proportionate part of all the assigning Lender’s rights and obligations under this Agreement;</w:t>
      </w:r>
    </w:p>
    <w:p>
      <w:pPr>
        <w:spacing w:after="0" w:line="160" w:lineRule="exact"/>
        <w:rPr>
          <w:rFonts w:ascii="Times New Roman" w:cs="Times New Roman" w:eastAsia="Times New Roman" w:hAnsi="Times New Roman"/>
          <w:sz w:val="20"/>
          <w:szCs w:val="20"/>
          <w:color w:val="010000"/>
        </w:rPr>
      </w:pPr>
    </w:p>
    <w:p>
      <w:pPr>
        <w:jc w:val="both"/>
        <w:ind w:left="1300" w:firstLine="652"/>
        <w:spacing w:after="0" w:line="222" w:lineRule="auto"/>
        <w:tabs>
          <w:tab w:leader="none" w:pos="2590" w:val="left"/>
        </w:tabs>
        <w:numPr>
          <w:ilvl w:val="0"/>
          <w:numId w:val="1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w:t>
      </w:r>
    </w:p>
    <w:p>
      <w:pPr>
        <w:spacing w:after="0" w:line="161" w:lineRule="exact"/>
        <w:rPr>
          <w:rFonts w:ascii="Times New Roman" w:cs="Times New Roman" w:eastAsia="Times New Roman" w:hAnsi="Times New Roman"/>
          <w:sz w:val="20"/>
          <w:szCs w:val="20"/>
          <w:color w:val="010000"/>
        </w:rPr>
      </w:pPr>
    </w:p>
    <w:p>
      <w:pPr>
        <w:jc w:val="both"/>
        <w:ind w:left="1300" w:firstLine="652"/>
        <w:spacing w:after="0" w:line="217" w:lineRule="auto"/>
        <w:tabs>
          <w:tab w:leader="none" w:pos="2587" w:val="left"/>
        </w:tabs>
        <w:numPr>
          <w:ilvl w:val="0"/>
          <w:numId w:val="1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175" w:lineRule="exact"/>
        <w:rPr>
          <w:rFonts w:ascii="Times New Roman" w:cs="Times New Roman" w:eastAsia="Times New Roman" w:hAnsi="Times New Roman"/>
          <w:sz w:val="20"/>
          <w:szCs w:val="20"/>
          <w:color w:val="010000"/>
        </w:rPr>
      </w:pPr>
    </w:p>
    <w:p>
      <w:pPr>
        <w:jc w:val="both"/>
        <w:ind w:left="1300" w:firstLine="652"/>
        <w:spacing w:after="0" w:line="258" w:lineRule="auto"/>
        <w:tabs>
          <w:tab w:leader="none" w:pos="246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Global Lender shall only assign its rights, duties and obligations to an assignee that agrees to become and shall be a Global Lender, and a Non-Global Lender may assign its rights, duties and obligations to an assignee that agrees to become and shall be a Non-Global Lender or that otherwise elects to become a Global Lender in accordance with Section 1.11.</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purposes of this Section 9.04(b), the terms “</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have the following meanings: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xml:space="preserve">” means a (a) natural person, (b) Defaulting Lender or its Parent, (c) company, investment vehicle or trust for, or owned and operated for the primary benefit of, a natural person or relative(s)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clause (c), such company, investment vehicle or trust shall not constitute an Ineligible Institution if it (x) has not been established for the primary purpose of acquiring any Loans or Revolving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or (d) a Loan Party or a Subsidiary or other Affiliate of a Loan Party.</w:t>
      </w:r>
    </w:p>
    <w:p>
      <w:pPr>
        <w:spacing w:after="0" w:line="179" w:lineRule="exact"/>
        <w:rPr>
          <w:sz w:val="20"/>
          <w:szCs w:val="20"/>
          <w:color w:val="auto"/>
        </w:rPr>
      </w:pPr>
    </w:p>
    <w:p>
      <w:pPr>
        <w:jc w:val="both"/>
        <w:ind w:firstLine="1304"/>
        <w:spacing w:after="0" w:line="222" w:lineRule="auto"/>
        <w:tabs>
          <w:tab w:leader="none" w:pos="1943" w:val="left"/>
        </w:tabs>
        <w:numPr>
          <w:ilvl w:val="0"/>
          <w:numId w:val="1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 its obligations under this Agreement (and, in the case of an Assignment and Assumption covering all of the assigning Lender’s rights</w:t>
      </w:r>
    </w:p>
    <w:p>
      <w:pPr>
        <w:spacing w:after="0" w:line="215" w:lineRule="auto"/>
        <w:rPr>
          <w:sz w:val="20"/>
          <w:szCs w:val="20"/>
          <w:color w:val="auto"/>
        </w:rPr>
      </w:pPr>
      <w:r>
        <w:rPr>
          <w:rFonts w:ascii="Times New Roman" w:cs="Times New Roman" w:eastAsia="Times New Roman" w:hAnsi="Times New Roman"/>
          <w:sz w:val="19"/>
          <w:szCs w:val="19"/>
          <w:color w:val="auto"/>
        </w:rPr>
        <w:t>and obligations under this Agreement, such Lender shall cease to be a party hereto but shall continue to be entitled to the benefits of Sections 2.15, 2.16, 2.17 and 9.03). Any assignment or transfer by a Lender of rights or obligations under this Agreement that does not comply with</w:t>
      </w:r>
    </w:p>
    <w:p>
      <w:pPr>
        <w:ind w:right="20"/>
        <w:spacing w:after="0" w:line="228" w:lineRule="auto"/>
        <w:rPr>
          <w:sz w:val="20"/>
          <w:szCs w:val="20"/>
          <w:color w:val="auto"/>
        </w:rPr>
      </w:pPr>
      <w:r>
        <w:rPr>
          <w:rFonts w:ascii="Times New Roman" w:cs="Times New Roman" w:eastAsia="Times New Roman" w:hAnsi="Times New Roman"/>
          <w:sz w:val="20"/>
          <w:szCs w:val="20"/>
          <w:color w:val="auto"/>
        </w:rPr>
        <w:t>this Section 9.04 shall be treated for purposes of this Agreement as a sale by such Lender of a participation in such rights and obligations in accordance with paragraph (c) of this Section.</w:t>
      </w:r>
    </w:p>
    <w:p>
      <w:pPr>
        <w:spacing w:after="0" w:line="149" w:lineRule="exact"/>
        <w:rPr>
          <w:sz w:val="20"/>
          <w:szCs w:val="20"/>
          <w:color w:val="auto"/>
        </w:rPr>
      </w:pPr>
    </w:p>
    <w:p>
      <w:pPr>
        <w:jc w:val="both"/>
        <w:ind w:firstLine="1304"/>
        <w:spacing w:after="0" w:line="226" w:lineRule="auto"/>
        <w:tabs>
          <w:tab w:leader="none" w:pos="1944" w:val="left"/>
        </w:tabs>
        <w:numPr>
          <w:ilvl w:val="1"/>
          <w:numId w:val="1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Revolving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The entries in the Register shall be conclusive, and the Borrower,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w:t>
      </w:r>
    </w:p>
    <w:p>
      <w:pPr>
        <w:spacing w:after="0" w:line="166" w:lineRule="exact"/>
        <w:rPr>
          <w:rFonts w:ascii="Times New Roman" w:cs="Times New Roman" w:eastAsia="Times New Roman" w:hAnsi="Times New Roman"/>
          <w:sz w:val="19"/>
          <w:szCs w:val="19"/>
          <w:color w:val="010000"/>
        </w:rPr>
      </w:pPr>
    </w:p>
    <w:p>
      <w:pPr>
        <w:jc w:val="both"/>
        <w:ind w:firstLine="1304"/>
        <w:spacing w:after="0" w:line="211" w:lineRule="auto"/>
        <w:tabs>
          <w:tab w:leader="none" w:pos="1933" w:val="left"/>
        </w:tabs>
        <w:numPr>
          <w:ilvl w:val="1"/>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Section 2.05,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5" w:lineRule="exact"/>
        <w:rPr>
          <w:rFonts w:ascii="Times New Roman" w:cs="Times New Roman" w:eastAsia="Times New Roman" w:hAnsi="Times New Roman"/>
          <w:sz w:val="20"/>
          <w:szCs w:val="20"/>
          <w:color w:val="010000"/>
        </w:rPr>
      </w:pPr>
    </w:p>
    <w:p>
      <w:pPr>
        <w:jc w:val="both"/>
        <w:ind w:firstLine="656"/>
        <w:spacing w:after="0" w:line="210" w:lineRule="auto"/>
        <w:tabs>
          <w:tab w:leader="none" w:pos="1286" w:val="left"/>
        </w:tabs>
        <w:numPr>
          <w:ilvl w:val="0"/>
          <w:numId w:val="1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may, without the consent of, or notice to, the Borrower, the Administrative Agent, the Swingline Lender or the Issuing Bank,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other than an Ineligible Institution in all or a portion of such Lender’s rights and obligations under this Agreement (including all or a portion of its Revolving Commitment and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Sections 2.17(f) and (g) (it being understood that the documentation required under Section 2.17(f)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Revolving Commitments, Loans, Letters of Credit or its other obligations under any Loan Document) to any Person except to the extent that such disclosure is necessary to establish that such Revolving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0" w:lineRule="exact"/>
        <w:rPr>
          <w:sz w:val="20"/>
          <w:szCs w:val="20"/>
          <w:color w:val="auto"/>
        </w:rPr>
      </w:pPr>
    </w:p>
    <w:p>
      <w:pPr>
        <w:jc w:val="both"/>
        <w:ind w:firstLine="656"/>
        <w:spacing w:after="0" w:line="220" w:lineRule="auto"/>
        <w:tabs>
          <w:tab w:leader="none" w:pos="1284"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covenants, agreements, representations and warranties made by the Loan Parties in the Loan Documents and in the certificates or other instruments delivered in connection with or pursuant to this Agreement or any other Loan Document shall be</w:t>
      </w:r>
    </w:p>
    <w:p>
      <w:pPr>
        <w:spacing w:after="0" w:line="212" w:lineRule="auto"/>
        <w:rPr>
          <w:sz w:val="20"/>
          <w:szCs w:val="20"/>
          <w:color w:val="auto"/>
        </w:rPr>
      </w:pPr>
      <w:r>
        <w:rPr>
          <w:rFonts w:ascii="Times New Roman" w:cs="Times New Roman" w:eastAsia="Times New Roman" w:hAnsi="Times New Roman"/>
          <w:sz w:val="20"/>
          <w:szCs w:val="20"/>
          <w:color w:val="auto"/>
        </w:rPr>
        <w:t>considered to have been relied upon by the other parties hereto and shall survive the execution and delivery of the Loan Documents and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making of any Loans and issuance of any Letters of Credit, regardless of any investigation made by any such other party or on its behalf and notwithstanding that the Administrative Agent, the Issuing Bank or any Lender may have had notice or knowledge of any Default or</w:t>
      </w:r>
    </w:p>
    <w:p>
      <w:pPr>
        <w:spacing w:after="0" w:line="211" w:lineRule="auto"/>
        <w:rPr>
          <w:sz w:val="20"/>
          <w:szCs w:val="20"/>
          <w:color w:val="auto"/>
        </w:rPr>
      </w:pPr>
      <w:r>
        <w:rPr>
          <w:rFonts w:ascii="Times New Roman" w:cs="Times New Roman" w:eastAsia="Times New Roman" w:hAnsi="Times New Roman"/>
          <w:sz w:val="20"/>
          <w:szCs w:val="20"/>
          <w:color w:val="auto"/>
        </w:rPr>
        <w:t>incorrect representation or warranty at the time any credit is extended hereunder, and shall continue in full force and effect until Payment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Full of the Secured Obligations. The provisions of Sections 2.15, 2.16, 2.17 and 9.03 and Article VIII shall survive and remain in full force and effect regardless of the consummation of the transactions contemplated hereby, the repayment of the Loans, the expiration or termination</w:t>
      </w:r>
    </w:p>
    <w:p>
      <w:pPr>
        <w:spacing w:after="0" w:line="204" w:lineRule="auto"/>
        <w:rPr>
          <w:sz w:val="20"/>
          <w:szCs w:val="20"/>
          <w:color w:val="auto"/>
        </w:rPr>
      </w:pPr>
      <w:r>
        <w:rPr>
          <w:rFonts w:ascii="Times New Roman" w:cs="Times New Roman" w:eastAsia="Times New Roman" w:hAnsi="Times New Roman"/>
          <w:sz w:val="20"/>
          <w:szCs w:val="20"/>
          <w:color w:val="auto"/>
        </w:rPr>
        <w:t>of the Letters of Credit and the Revolving Commitments or the termination of this Agreement or any other Loan Document or any provision hereof or thereof.</w:t>
      </w:r>
    </w:p>
    <w:p>
      <w:pPr>
        <w:ind w:left="660"/>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9"/>
          <w:szCs w:val="19"/>
          <w:u w:val="single" w:color="auto"/>
          <w:color w:val="auto"/>
        </w:rPr>
        <w:t>Counterparts; Integration; Effectiveness; Electronic Execution</w:t>
      </w:r>
      <w:r>
        <w:rPr>
          <w:rFonts w:ascii="Times New Roman" w:cs="Times New Roman" w:eastAsia="Times New Roman" w:hAnsi="Times New Roman"/>
          <w:sz w:val="19"/>
          <w:szCs w:val="19"/>
          <w:color w:val="auto"/>
        </w:rPr>
        <w:t>.</w:t>
      </w:r>
    </w:p>
    <w:p>
      <w:pPr>
        <w:jc w:val="both"/>
        <w:ind w:firstLine="656"/>
        <w:spacing w:after="0" w:line="210" w:lineRule="auto"/>
        <w:tabs>
          <w:tab w:leader="none" w:pos="1286" w:val="left"/>
        </w:tabs>
        <w:numPr>
          <w:ilvl w:val="0"/>
          <w:numId w:val="1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63" w:lineRule="exact"/>
        <w:rPr>
          <w:rFonts w:ascii="Times New Roman" w:cs="Times New Roman" w:eastAsia="Times New Roman" w:hAnsi="Times New Roman"/>
          <w:sz w:val="20"/>
          <w:szCs w:val="20"/>
          <w:color w:val="010000"/>
        </w:rPr>
      </w:pPr>
    </w:p>
    <w:p>
      <w:pPr>
        <w:jc w:val="both"/>
        <w:ind w:right="20" w:firstLine="656"/>
        <w:spacing w:after="0" w:line="226" w:lineRule="auto"/>
        <w:tabs>
          <w:tab w:leader="none" w:pos="1284" w:val="left"/>
        </w:tabs>
        <w:numPr>
          <w:ilvl w:val="0"/>
          <w:numId w:val="1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 disclosure or authorization related to this Agreement, any other Loan Document and/or the transactions contemplated hereby</w:t>
      </w:r>
    </w:p>
    <w:p>
      <w:pPr>
        <w:spacing w:after="0" w:line="215" w:lineRule="auto"/>
        <w:rPr>
          <w:sz w:val="20"/>
          <w:szCs w:val="20"/>
          <w:color w:val="auto"/>
        </w:rPr>
      </w:pPr>
      <w:r>
        <w:rPr>
          <w:rFonts w:ascii="Times New Roman" w:cs="Times New Roman" w:eastAsia="Times New Roman" w:hAnsi="Times New Roman"/>
          <w:sz w:val="19"/>
          <w:szCs w:val="19"/>
          <w:color w:val="auto"/>
        </w:rPr>
        <w:t>and/or thereby (each an “</w:t>
      </w:r>
      <w:r>
        <w:rPr>
          <w:rFonts w:ascii="Times New Roman" w:cs="Times New Roman" w:eastAsia="Times New Roman" w:hAnsi="Times New Roman"/>
          <w:sz w:val="19"/>
          <w:szCs w:val="19"/>
          <w:u w:val="single" w:color="auto"/>
          <w:color w:val="auto"/>
        </w:rPr>
        <w:t>Ancillary Document</w:t>
      </w:r>
      <w:r>
        <w:rPr>
          <w:rFonts w:ascii="Times New Roman" w:cs="Times New Roman" w:eastAsia="Times New Roman" w:hAnsi="Times New Roman"/>
          <w:sz w:val="19"/>
          <w:szCs w:val="19"/>
          <w:color w:val="auto"/>
        </w:rPr>
        <w:t>”) that is an Electronic Signature transmitted by telecopy, emailed pdf. or any other electronic means that reproduces an image of an actual executed signature page shall be effective as delivery of a manually executed counterpart of this</w:t>
      </w:r>
    </w:p>
    <w:p>
      <w:pPr>
        <w:spacing w:after="0" w:line="211" w:lineRule="auto"/>
        <w:rPr>
          <w:sz w:val="20"/>
          <w:szCs w:val="20"/>
          <w:color w:val="auto"/>
        </w:rPr>
      </w:pPr>
      <w:r>
        <w:rPr>
          <w:rFonts w:ascii="Times New Roman" w:cs="Times New Roman" w:eastAsia="Times New Roman" w:hAnsi="Times New Roman"/>
          <w:sz w:val="20"/>
          <w:szCs w:val="20"/>
          <w:color w:val="auto"/>
        </w:rPr>
        <w:t>Agreement, such other Loan Document or such Ancillary Document, as applicable. The words “execution,” “signed,” “signature,”</w:t>
      </w:r>
    </w:p>
    <w:p>
      <w:pPr>
        <w:jc w:val="both"/>
        <w:spacing w:after="0" w:line="204" w:lineRule="auto"/>
        <w:rPr>
          <w:sz w:val="20"/>
          <w:szCs w:val="20"/>
          <w:color w:val="auto"/>
        </w:rPr>
      </w:pPr>
      <w:r>
        <w:rPr>
          <w:rFonts w:ascii="Times New Roman" w:cs="Times New Roman" w:eastAsia="Times New Roman" w:hAnsi="Times New Roman"/>
          <w:sz w:val="20"/>
          <w:szCs w:val="20"/>
          <w:color w:val="auto"/>
        </w:rPr>
        <w:t>“delivery,” and words of like import in or relating to this Agreement, any other Loan Document and/or any Ancillary Document shall be deemed to include Electronic Signatures, deliveries or the keeping of records in any electronic form (including deliveries by telecopy,</w:t>
      </w:r>
    </w:p>
    <w:p>
      <w:pPr>
        <w:spacing w:after="0" w:line="223" w:lineRule="auto"/>
        <w:rPr>
          <w:sz w:val="20"/>
          <w:szCs w:val="20"/>
          <w:color w:val="auto"/>
        </w:rPr>
      </w:pPr>
      <w:r>
        <w:rPr>
          <w:rFonts w:ascii="Times New Roman" w:cs="Times New Roman" w:eastAsia="Times New Roman" w:hAnsi="Times New Roman"/>
          <w:sz w:val="19"/>
          <w:szCs w:val="19"/>
          <w:color w:val="auto"/>
        </w:rPr>
        <w:t>emailed pdf. or any other electronic means that reproduces an image of an actual executed signature page), each of which shall be of the same</w:t>
      </w:r>
    </w:p>
    <w:p>
      <w:pPr>
        <w:spacing w:after="0" w:line="204" w:lineRule="auto"/>
        <w:rPr>
          <w:sz w:val="20"/>
          <w:szCs w:val="20"/>
          <w:color w:val="auto"/>
        </w:rPr>
      </w:pPr>
      <w:r>
        <w:rPr>
          <w:rFonts w:ascii="Times New Roman" w:cs="Times New Roman" w:eastAsia="Times New Roman" w:hAnsi="Times New Roman"/>
          <w:sz w:val="20"/>
          <w:szCs w:val="20"/>
          <w:color w:val="auto"/>
        </w:rPr>
        <w:t>legal effect, validity or enforceability as a manually executed signature, physical delivery thereof or the use of a paper-based recordkeeping system, as the case may be; provided that nothing herein shall require the Administrative Agent to accept Electronic Signatures in any form</w:t>
      </w:r>
    </w:p>
    <w:p>
      <w:pPr>
        <w:spacing w:after="0" w:line="223" w:lineRule="auto"/>
        <w:rPr>
          <w:sz w:val="20"/>
          <w:szCs w:val="20"/>
          <w:color w:val="auto"/>
        </w:rPr>
      </w:pPr>
      <w:r>
        <w:rPr>
          <w:rFonts w:ascii="Times New Roman" w:cs="Times New Roman" w:eastAsia="Times New Roman" w:hAnsi="Times New Roman"/>
          <w:sz w:val="19"/>
          <w:szCs w:val="19"/>
          <w:color w:val="auto"/>
        </w:rPr>
        <w:t>or format without its prior written consent and pursuant to procedures approved by it; provided, further, without limiting the foregoing, (i) to</w:t>
      </w:r>
    </w:p>
    <w:p>
      <w:pPr>
        <w:spacing w:after="0" w:line="204" w:lineRule="auto"/>
        <w:rPr>
          <w:sz w:val="20"/>
          <w:szCs w:val="20"/>
          <w:color w:val="auto"/>
        </w:rPr>
      </w:pPr>
      <w:r>
        <w:rPr>
          <w:rFonts w:ascii="Times New Roman" w:cs="Times New Roman" w:eastAsia="Times New Roman" w:hAnsi="Times New Roman"/>
          <w:sz w:val="20"/>
          <w:szCs w:val="20"/>
          <w:color w:val="auto"/>
        </w:rPr>
        <w:t>the extent the Administrative Agent has agreed to accept any Electronic Signature, the Administrative Agent and each of the Lenders shall be entitled to rely on such Electronic Signature purportedly given by or on behalf of the Borrower or any other Loan Party without further</w:t>
      </w:r>
    </w:p>
    <w:p>
      <w:pPr>
        <w:spacing w:after="0" w:line="223" w:lineRule="auto"/>
        <w:rPr>
          <w:sz w:val="20"/>
          <w:szCs w:val="20"/>
          <w:color w:val="auto"/>
        </w:rPr>
      </w:pPr>
      <w:r>
        <w:rPr>
          <w:rFonts w:ascii="Times New Roman" w:cs="Times New Roman" w:eastAsia="Times New Roman" w:hAnsi="Times New Roman"/>
          <w:sz w:val="19"/>
          <w:szCs w:val="19"/>
          <w:color w:val="auto"/>
        </w:rPr>
        <w:t>verification thereof and without any obligation to review the appearance or form of any such Electronic Signature and (ii) upon the request of</w:t>
      </w:r>
    </w:p>
    <w:p>
      <w:pPr>
        <w:ind w:right="20"/>
        <w:spacing w:after="0" w:line="204" w:lineRule="auto"/>
        <w:rPr>
          <w:sz w:val="20"/>
          <w:szCs w:val="20"/>
          <w:color w:val="auto"/>
        </w:rPr>
      </w:pPr>
      <w:r>
        <w:rPr>
          <w:rFonts w:ascii="Times New Roman" w:cs="Times New Roman" w:eastAsia="Times New Roman" w:hAnsi="Times New Roman"/>
          <w:sz w:val="20"/>
          <w:szCs w:val="20"/>
          <w:color w:val="auto"/>
        </w:rPr>
        <w:t>the Administrative Agent or any Lender, any Electronic Signature shall be promptly followed by a manually executed counterpart. Without limiting the generality of the foregoing, the Borrower and each Loan Party hereby (A) agrees that, for all purposes, including without</w:t>
      </w:r>
    </w:p>
    <w:p>
      <w:pPr>
        <w:spacing w:after="0" w:line="211" w:lineRule="auto"/>
        <w:rPr>
          <w:sz w:val="20"/>
          <w:szCs w:val="20"/>
          <w:color w:val="auto"/>
        </w:rPr>
      </w:pPr>
      <w:r>
        <w:rPr>
          <w:rFonts w:ascii="Times New Roman" w:cs="Times New Roman" w:eastAsia="Times New Roman" w:hAnsi="Times New Roman"/>
          <w:sz w:val="20"/>
          <w:szCs w:val="20"/>
          <w:color w:val="auto"/>
        </w:rPr>
        <w:t>limitation, in connection with any workout, restructuring, enforcement of remedies, bankruptcy proceedings or litigation among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the Lenders, the Borrower and the Loan Parties, Electronic Signatures transmitted by telecopy, emailed pdf. or any other electronic means that reproduces an image of an actual executed signature page and/or any electronic images of this Agreement, any</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other Loan Document and/or any Ancillary Document shall have the same legal effect, validity and enforceability as any paper original, (B) the Administrative Agent and each of the Lenders may, at its option, create one or more copies of this Agreement, any other Loan Document</w:t>
      </w:r>
    </w:p>
    <w:p>
      <w:pPr>
        <w:spacing w:after="0" w:line="211" w:lineRule="auto"/>
        <w:rPr>
          <w:sz w:val="20"/>
          <w:szCs w:val="20"/>
          <w:color w:val="auto"/>
        </w:rPr>
      </w:pPr>
      <w:r>
        <w:rPr>
          <w:rFonts w:ascii="Times New Roman" w:cs="Times New Roman" w:eastAsia="Times New Roman" w:hAnsi="Times New Roman"/>
          <w:sz w:val="20"/>
          <w:szCs w:val="20"/>
          <w:color w:val="auto"/>
        </w:rPr>
        <w:t>and/or any Ancillary Document in the form of an imaged electronic record in any format, which shall be deemed created in the ordinary</w:t>
      </w:r>
    </w:p>
    <w:p>
      <w:pPr>
        <w:spacing w:after="0" w:line="215" w:lineRule="auto"/>
        <w:rPr>
          <w:sz w:val="20"/>
          <w:szCs w:val="20"/>
          <w:color w:val="auto"/>
        </w:rPr>
      </w:pPr>
      <w:r>
        <w:rPr>
          <w:rFonts w:ascii="Times New Roman" w:cs="Times New Roman" w:eastAsia="Times New Roman" w:hAnsi="Times New Roman"/>
          <w:sz w:val="19"/>
          <w:szCs w:val="19"/>
          <w:color w:val="auto"/>
        </w:rPr>
        <w:t>course of such Person’s business, and destroy the original paper document (and all such electronic records shall be considered an original for all purposes and shall have the same legal effect, validity and enforceability as a paper record), (C) waives any argument, defense or right to</w:t>
      </w:r>
    </w:p>
    <w:p>
      <w:pPr>
        <w:spacing w:after="0" w:line="211" w:lineRule="auto"/>
        <w:rPr>
          <w:sz w:val="20"/>
          <w:szCs w:val="20"/>
          <w:color w:val="auto"/>
        </w:rPr>
      </w:pPr>
      <w:r>
        <w:rPr>
          <w:rFonts w:ascii="Times New Roman" w:cs="Times New Roman" w:eastAsia="Times New Roman" w:hAnsi="Times New Roman"/>
          <w:sz w:val="20"/>
          <w:szCs w:val="20"/>
          <w:color w:val="auto"/>
        </w:rPr>
        <w:t>contest the legal effect, validity or enforceability of this Agreement, any other Loan Document and/or any Ancillary Document based solely</w:t>
      </w:r>
    </w:p>
    <w:p>
      <w:pPr>
        <w:spacing w:after="0" w:line="204" w:lineRule="auto"/>
        <w:rPr>
          <w:sz w:val="20"/>
          <w:szCs w:val="20"/>
          <w:color w:val="auto"/>
        </w:rPr>
      </w:pPr>
      <w:r>
        <w:rPr>
          <w:rFonts w:ascii="Times New Roman" w:cs="Times New Roman" w:eastAsia="Times New Roman" w:hAnsi="Times New Roman"/>
          <w:sz w:val="20"/>
          <w:szCs w:val="20"/>
          <w:color w:val="auto"/>
        </w:rPr>
        <w:t>on the lack of paper original copies of this Agreement, such other Loan Document and/or such Ancillary Document, respectively, including with respect to any signature pages thereto and (D) waives any claim against any Lender-Related Person for any Liabilities arising solely</w:t>
      </w:r>
    </w:p>
    <w:p>
      <w:pPr>
        <w:spacing w:after="0" w:line="211" w:lineRule="auto"/>
        <w:rPr>
          <w:sz w:val="20"/>
          <w:szCs w:val="20"/>
          <w:color w:val="auto"/>
        </w:rPr>
      </w:pPr>
      <w:r>
        <w:rPr>
          <w:rFonts w:ascii="Times New Roman" w:cs="Times New Roman" w:eastAsia="Times New Roman" w:hAnsi="Times New Roman"/>
          <w:sz w:val="20"/>
          <w:szCs w:val="20"/>
          <w:color w:val="auto"/>
        </w:rPr>
        <w:t>from the Administrative Agent’s and/or any Lender’s reliance on or use of Electronic Signatures and/or transmissions by telecopy, emailed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pdf. or any other electronic means that reproduces an image of an actual executed signature page, including any Liabilities arising as a result of the failure of the Borrower and/or any Loan Party to use any available security measures in connection with the execution, delivery or</w:t>
      </w:r>
    </w:p>
    <w:p>
      <w:pPr>
        <w:spacing w:after="0"/>
        <w:rPr>
          <w:sz w:val="20"/>
          <w:szCs w:val="20"/>
          <w:color w:val="auto"/>
        </w:rPr>
      </w:pPr>
      <w:r>
        <w:rPr>
          <w:rFonts w:ascii="Times New Roman" w:cs="Times New Roman" w:eastAsia="Times New Roman" w:hAnsi="Times New Roman"/>
          <w:sz w:val="20"/>
          <w:szCs w:val="20"/>
          <w:color w:val="auto"/>
        </w:rPr>
        <w:t>transmission of any Electronic Signature.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any Loan Document held to be invalid, illegal or unenforceable in any jurisdiction shall, as to such jurisdiction, be ineffective to the extent of such invalidity, illegality or unenforceability without affecting the validity, legality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enforceability of the remaining provisions thereof; and the invalidity of a particular provision in a particular jurisdiction shall not invalidate such provision in any other jurisdiction.</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If an Event of Default shall have occurred and be continuing, each Lender, the Issuing Bank, and each of their respective Affiliates is hereby authorized at any time and from time to time, to the fullest extent permitted by law, to set off and apply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and all deposits (general or special, time or demand, provisional or final and in whatever currency denominated) at any time held, and other obligations at any time owing, by such Lender, the Issuing Bank or any such Affiliate, to or for the credit or the account of any Loan</w:t>
      </w:r>
    </w:p>
    <w:p>
      <w:pPr>
        <w:spacing w:after="0" w:line="211" w:lineRule="auto"/>
        <w:rPr>
          <w:sz w:val="20"/>
          <w:szCs w:val="20"/>
          <w:color w:val="auto"/>
        </w:rPr>
      </w:pPr>
      <w:r>
        <w:rPr>
          <w:rFonts w:ascii="Times New Roman" w:cs="Times New Roman" w:eastAsia="Times New Roman" w:hAnsi="Times New Roman"/>
          <w:sz w:val="20"/>
          <w:szCs w:val="20"/>
          <w:color w:val="auto"/>
        </w:rPr>
        <w:t>Party against any and all of the Secured Obligations now or hereafter existing and owing to such Lender or the Issuing Bank or their</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respective Affiliates, irrespective of whether or not such Lender, the Issuing Bank or such Affiliate shall have made any demand under this Agreement or any other Loan Document and although such obligations of the Loan Parties may be contingent or unmatured or are owed to a</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branch office or Affiliate of such Lender or the Issuing Bank different from the branch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(x)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amounts so set off shall be paid over immediately to the Administrative Agent for further application in accordance with the provisions of</w:t>
      </w:r>
    </w:p>
    <w:p>
      <w:pPr>
        <w:spacing w:after="0" w:line="204" w:lineRule="auto"/>
        <w:rPr>
          <w:sz w:val="20"/>
          <w:szCs w:val="20"/>
          <w:color w:val="auto"/>
        </w:rPr>
      </w:pPr>
      <w:r>
        <w:rPr>
          <w:rFonts w:ascii="Times New Roman" w:cs="Times New Roman" w:eastAsia="Times New Roman" w:hAnsi="Times New Roman"/>
          <w:sz w:val="20"/>
          <w:szCs w:val="20"/>
          <w:color w:val="auto"/>
        </w:rPr>
        <w:t>Section 2.20 and, pending such payment, shall be segregated by such Defaulting Lender from its other funds and deemed held in trust for the benefit of the Administrative Agent, the Issuing Banks, and the Lenders, and (y) the Defaulting Lender shall provide promptly to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a statement describing in reasonable detail the Secured Obligations owing to such Defaulting Lender as to which it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exercised such right of setoff. The applicable Lender, the Issuing Bank or such Affiliate shall notify the Borrower and the Administrative Agent of such setoff or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or application under</w:t>
      </w:r>
    </w:p>
    <w:p>
      <w:pPr>
        <w:spacing w:after="0" w:line="211" w:lineRule="auto"/>
        <w:rPr>
          <w:sz w:val="20"/>
          <w:szCs w:val="20"/>
          <w:color w:val="auto"/>
        </w:rPr>
      </w:pPr>
      <w:r>
        <w:rPr>
          <w:rFonts w:ascii="Times New Roman" w:cs="Times New Roman" w:eastAsia="Times New Roman" w:hAnsi="Times New Roman"/>
          <w:sz w:val="20"/>
          <w:szCs w:val="20"/>
          <w:color w:val="auto"/>
        </w:rPr>
        <w:t>this Section. The rights of each Lender, the Issuing Bank and their respective Affiliates under this Section are in addition to other rights and</w:t>
      </w:r>
    </w:p>
    <w:p>
      <w:pPr>
        <w:spacing w:after="0" w:line="197" w:lineRule="auto"/>
        <w:rPr>
          <w:sz w:val="20"/>
          <w:szCs w:val="20"/>
          <w:color w:val="auto"/>
        </w:rPr>
      </w:pPr>
      <w:r>
        <w:rPr>
          <w:rFonts w:ascii="Times New Roman" w:cs="Times New Roman" w:eastAsia="Times New Roman" w:hAnsi="Times New Roman"/>
          <w:sz w:val="20"/>
          <w:szCs w:val="20"/>
          <w:color w:val="auto"/>
        </w:rPr>
        <w:t>remedies (including other rights of setoff) that such Lender, the Issuing Bank or their respective Affiliates may have.</w:t>
      </w:r>
    </w:p>
    <w:p>
      <w:pPr>
        <w:ind w:left="660"/>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9.9</w:t>
      </w:r>
      <w:r>
        <w:rPr>
          <w:sz w:val="20"/>
          <w:szCs w:val="20"/>
          <w:color w:val="auto"/>
        </w:rPr>
        <w:tab/>
      </w:r>
      <w:r>
        <w:rPr>
          <w:rFonts w:ascii="Times New Roman" w:cs="Times New Roman" w:eastAsia="Times New Roman" w:hAnsi="Times New Roman"/>
          <w:sz w:val="19"/>
          <w:szCs w:val="19"/>
          <w:u w:val="single" w:color="auto"/>
          <w:color w:val="auto"/>
        </w:rPr>
        <w:t>Governing Law; Jurisdiction; Consent to Service of Process</w:t>
      </w:r>
      <w:r>
        <w:rPr>
          <w:rFonts w:ascii="Times New Roman" w:cs="Times New Roman" w:eastAsia="Times New Roman" w:hAnsi="Times New Roman"/>
          <w:sz w:val="19"/>
          <w:szCs w:val="19"/>
          <w:color w:val="auto"/>
        </w:rPr>
        <w:t>.</w:t>
      </w:r>
    </w:p>
    <w:p>
      <w:pPr>
        <w:ind w:firstLine="656"/>
        <w:spacing w:after="0" w:line="228" w:lineRule="auto"/>
        <w:tabs>
          <w:tab w:leader="none" w:pos="1286" w:val="left"/>
        </w:tabs>
        <w:numPr>
          <w:ilvl w:val="0"/>
          <w:numId w:val="1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 Documents (other than those containing a contrary express choice of law provision) shall be governed by and construed in accordance with and governed by the law of the State of New York.</w:t>
      </w:r>
    </w:p>
    <w:p>
      <w:pPr>
        <w:spacing w:after="0" w:line="148"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4" w:val="left"/>
        </w:tabs>
        <w:numPr>
          <w:ilvl w:val="0"/>
          <w:numId w:val="1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61"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6" w:val="left"/>
        </w:tabs>
        <w:numPr>
          <w:ilvl w:val="0"/>
          <w:numId w:val="1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166" w:lineRule="exact"/>
        <w:rPr>
          <w:rFonts w:ascii="Times New Roman" w:cs="Times New Roman" w:eastAsia="Times New Roman" w:hAnsi="Times New Roman"/>
          <w:sz w:val="19"/>
          <w:szCs w:val="19"/>
          <w:color w:val="010000"/>
        </w:rPr>
      </w:pPr>
    </w:p>
    <w:p>
      <w:pPr>
        <w:jc w:val="both"/>
        <w:ind w:firstLine="656"/>
        <w:spacing w:after="0" w:line="220" w:lineRule="auto"/>
        <w:tabs>
          <w:tab w:leader="none" w:pos="1284" w:val="left"/>
        </w:tabs>
        <w:numPr>
          <w:ilvl w:val="0"/>
          <w:numId w:val="1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47" w:lineRule="exact"/>
        <w:rPr>
          <w:rFonts w:ascii="Times New Roman" w:cs="Times New Roman" w:eastAsia="Times New Roman" w:hAnsi="Times New Roman"/>
          <w:sz w:val="20"/>
          <w:szCs w:val="20"/>
          <w:color w:val="010000"/>
        </w:rPr>
      </w:pPr>
    </w:p>
    <w:p>
      <w:pPr>
        <w:jc w:val="both"/>
        <w:ind w:firstLine="656"/>
        <w:spacing w:after="0" w:line="214" w:lineRule="auto"/>
        <w:tabs>
          <w:tab w:leader="none" w:pos="1286" w:val="left"/>
        </w:tabs>
        <w:numPr>
          <w:ilvl w:val="0"/>
          <w:numId w:val="1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party to this Agreement irrevocably consents to service of process in the manner provided for notices in Section 9.01. Each Foreign Subsidiary that is a party hereto irrevocably designates and appoints the Borrower, as its authorized agent, to accept and acknowledge on its behalf, service of any and all process which may be served in any suit, action or proceeding of the nature referred to in Section 9.09(c) in any federal or New York State court sitting in New York City. The Borrower hereby represents, warrants and confirms that the Borrower has agreed to accept such appointment. Said designation and appointment shall be irrevocable by each such Foreign Subsidiary until Payment in Full of the Secured Obligations. Each Foreign Subsidiary party thereto hereby consents to process being served in any suit, action or proceeding of the nature referred to in Section 9.09(c) in any federal or New York State court sitting in New York City by service of process upon the Borrower as provided in this Section 9.09(e);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lawful and possible, notice of said service upon such agent shall be mailed by registered or certified air mail, postage prepaid, return receipt requested,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 and (if applicable to) such Foreign Subsidiary at its address set forth herein or in the Joinder Agreement pursuant to which such</w:t>
      </w:r>
    </w:p>
    <w:p>
      <w:pPr>
        <w:spacing w:after="0" w:line="204" w:lineRule="auto"/>
        <w:rPr>
          <w:sz w:val="20"/>
          <w:szCs w:val="20"/>
          <w:color w:val="auto"/>
        </w:rPr>
      </w:pPr>
      <w:r>
        <w:rPr>
          <w:rFonts w:ascii="Times New Roman" w:cs="Times New Roman" w:eastAsia="Times New Roman" w:hAnsi="Times New Roman"/>
          <w:sz w:val="20"/>
          <w:szCs w:val="20"/>
          <w:color w:val="auto"/>
        </w:rPr>
        <w:t>Foreign Subsidiary became a party hereto, as applicable, or to any other address of which such Foreign Subsidiary shall have given written notice to the Administrative Agent (with a copy thereof to the Borrower). Each Foreign Subsidiary party hereto irrevocably waives, to the</w:t>
      </w:r>
    </w:p>
    <w:p>
      <w:pPr>
        <w:spacing w:after="0" w:line="211" w:lineRule="auto"/>
        <w:rPr>
          <w:sz w:val="20"/>
          <w:szCs w:val="20"/>
          <w:color w:val="auto"/>
        </w:rPr>
      </w:pPr>
      <w:r>
        <w:rPr>
          <w:rFonts w:ascii="Times New Roman" w:cs="Times New Roman" w:eastAsia="Times New Roman" w:hAnsi="Times New Roman"/>
          <w:sz w:val="20"/>
          <w:szCs w:val="20"/>
          <w:color w:val="auto"/>
        </w:rPr>
        <w:t>fullest extent permitted by law, all claim of error by reason of any such service in such manner and agrees that such service shall be deemed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 every respect effective service of process upon such Foreign Subsidiary in any such suit, action or proceeding and shall, to the fullest extent permitted by law, be taken and held to be valid and personal service upon and personal delivery to such Foreign Subsidiary. To the</w:t>
      </w:r>
    </w:p>
    <w:p>
      <w:pPr>
        <w:spacing w:after="0" w:line="211" w:lineRule="auto"/>
        <w:rPr>
          <w:sz w:val="20"/>
          <w:szCs w:val="20"/>
          <w:color w:val="auto"/>
        </w:rPr>
      </w:pPr>
      <w:r>
        <w:rPr>
          <w:rFonts w:ascii="Times New Roman" w:cs="Times New Roman" w:eastAsia="Times New Roman" w:hAnsi="Times New Roman"/>
          <w:sz w:val="20"/>
          <w:szCs w:val="20"/>
          <w:color w:val="auto"/>
        </w:rPr>
        <w:t>extent any Foreign Subsidiary party hereto has or hereafter may acquire any immunity from jurisdiction of any court or from any legal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process (whether from service or notice, attachment prior to judgment, attachment in aid of execution of a judgment, execution or otherwise), each Foreign Subsidiary hereby irrevocably waives such immunity in respect of its obligations under the Loan Documents. Nothing in this</w:t>
      </w:r>
    </w:p>
    <w:p>
      <w:pPr>
        <w:spacing w:after="0" w:line="228" w:lineRule="auto"/>
        <w:rPr>
          <w:sz w:val="20"/>
          <w:szCs w:val="20"/>
          <w:color w:val="auto"/>
        </w:rPr>
      </w:pPr>
      <w:r>
        <w:rPr>
          <w:rFonts w:ascii="Times New Roman" w:cs="Times New Roman" w:eastAsia="Times New Roman" w:hAnsi="Times New Roman"/>
          <w:sz w:val="20"/>
          <w:szCs w:val="20"/>
          <w:color w:val="auto"/>
        </w:rPr>
        <w:t>Agreement or any other Loan Document will affect the right of any party to this Agreement to serve process in any other manner permitted by law.</w:t>
      </w:r>
    </w:p>
    <w:p>
      <w:pPr>
        <w:spacing w:after="0" w:line="149"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WAIVES, TO THE FULLEST EXTENT PERMITTED BY APPLICABLE LAW, ANY RIGHT IT MAY HAVE TO A TRIAL BY JURY IN ANY LEGAL PROCEEDING</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DIRECTLY OR INDIRECTLY ARISING OUT OF OR RELATING TO THIS AGREEMENT, ANY OTHER LOAN DOCUMENT OR THE TRANSACTIONS CONTEMPLATED HEREBY OR THEREBY (WHETHER BASED ON CONTRACT, TORT OR ANY OTHER</w:t>
      </w:r>
    </w:p>
    <w:p>
      <w:pPr>
        <w:spacing w:after="0" w:line="211" w:lineRule="auto"/>
        <w:rPr>
          <w:sz w:val="20"/>
          <w:szCs w:val="20"/>
          <w:color w:val="auto"/>
        </w:rPr>
      </w:pPr>
      <w:r>
        <w:rPr>
          <w:rFonts w:ascii="Times New Roman" w:cs="Times New Roman" w:eastAsia="Times New Roman" w:hAnsi="Times New Roman"/>
          <w:sz w:val="20"/>
          <w:szCs w:val="20"/>
          <w:color w:val="auto"/>
        </w:rPr>
        <w:t>THEORY). EACH PARTY HERETO (A) CERTIFIES THAT NO REPRESENTATIVE OR OTHER AGENT (INCLUDING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ATTORNEY) OF ANY OTHER PARTY HAS REPRESENTED, EXPRESSLY OR OTHERWISE, THAT SUCH OTHER PARTY WOULD NOT, IN THE EVENT OF LITIGATION, SEEK TO ENFORCE THE FOREGOING WAIVER AND (B) ACKNOWLEDGES THAT IT</w:t>
      </w:r>
    </w:p>
    <w:p>
      <w:pPr>
        <w:spacing w:after="0" w:line="204" w:lineRule="auto"/>
        <w:rPr>
          <w:sz w:val="20"/>
          <w:szCs w:val="20"/>
          <w:color w:val="auto"/>
        </w:rPr>
      </w:pPr>
      <w:r>
        <w:rPr>
          <w:rFonts w:ascii="Times New Roman" w:cs="Times New Roman" w:eastAsia="Times New Roman" w:hAnsi="Times New Roman"/>
          <w:sz w:val="20"/>
          <w:szCs w:val="20"/>
          <w:color w:val="auto"/>
        </w:rPr>
        <w:t>AND THE OTHER PARTIES HERETO HAVE BEEN INDUCED TO ENTER INTO THIS AGREEMENT BY, AMONG OTHER THINGS, THE MUTUAL WAIVERS AND CERTIFICATIONS IN THIS SECTION.</w:t>
      </w:r>
    </w:p>
    <w:p>
      <w:pPr>
        <w:spacing w:after="0" w:line="1" w:lineRule="exact"/>
        <w:rPr>
          <w:sz w:val="20"/>
          <w:szCs w:val="20"/>
          <w:color w:val="auto"/>
        </w:rPr>
      </w:pPr>
    </w:p>
    <w:p>
      <w:pPr>
        <w:ind w:right="20" w:firstLine="648"/>
        <w:spacing w:after="0" w:line="204"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9.12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Each of the Administrative Agent, the Issuing Bank and the Lenders agrees to maintain the confidentiality of the Information (as defined below), except that Information may be disclosed (a) to its and its Affiliates’ directors, officers, employees and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agents, including accountants, legal counsel and other advisors (it being understood that the Persons to whom such disclosure is made will be informed of the confidential nature of such Information and instructed to keep such Information confidential), (b) to the extent requested by</w:t>
      </w:r>
    </w:p>
    <w:p>
      <w:pPr>
        <w:spacing w:after="0" w:line="211" w:lineRule="auto"/>
        <w:rPr>
          <w:sz w:val="20"/>
          <w:szCs w:val="20"/>
          <w:color w:val="auto"/>
        </w:rPr>
      </w:pPr>
      <w:r>
        <w:rPr>
          <w:rFonts w:ascii="Times New Roman" w:cs="Times New Roman" w:eastAsia="Times New Roman" w:hAnsi="Times New Roman"/>
          <w:sz w:val="20"/>
          <w:szCs w:val="20"/>
          <w:color w:val="auto"/>
        </w:rPr>
        <w:t>any Governmental Authority (including any self-regulatory authority, such as the National Association of Insurance Commissioners), (c) to</w:t>
      </w:r>
    </w:p>
    <w:p>
      <w:pPr>
        <w:spacing w:after="0" w:line="204" w:lineRule="auto"/>
        <w:rPr>
          <w:sz w:val="20"/>
          <w:szCs w:val="20"/>
          <w:color w:val="auto"/>
        </w:rPr>
      </w:pPr>
      <w:r>
        <w:rPr>
          <w:rFonts w:ascii="Times New Roman" w:cs="Times New Roman" w:eastAsia="Times New Roman" w:hAnsi="Times New Roman"/>
          <w:sz w:val="20"/>
          <w:szCs w:val="20"/>
          <w:color w:val="auto"/>
        </w:rPr>
        <w:t>the extent required by any Requirement of Law or by any subpoena or similar legal process, (d) to any other party to this Agreement, (e) in connection with the exercise of any remedies hereunder or under any other Loan Document or any suit, action or proceeding relating to this</w:t>
      </w:r>
    </w:p>
    <w:p>
      <w:pPr>
        <w:spacing w:after="0" w:line="211" w:lineRule="auto"/>
        <w:rPr>
          <w:sz w:val="20"/>
          <w:szCs w:val="20"/>
          <w:color w:val="auto"/>
        </w:rPr>
      </w:pPr>
      <w:r>
        <w:rPr>
          <w:rFonts w:ascii="Times New Roman" w:cs="Times New Roman" w:eastAsia="Times New Roman" w:hAnsi="Times New Roman"/>
          <w:sz w:val="20"/>
          <w:szCs w:val="20"/>
          <w:color w:val="auto"/>
        </w:rPr>
        <w:t>Agreement or any other Loan Document or the enforcement of rights hereunder or thereunder, (f) subject to an agreement containing</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provisions substantially the same as those of this Section, to (x) any assignee of or Participant in, or any prospective assignee of or Participant in, any of its rights or obligations under this Agreement or (y) any actual or prospective counterparty (or its advisors) to any swap</w:t>
      </w:r>
    </w:p>
    <w:p>
      <w:pPr>
        <w:spacing w:after="0" w:line="211" w:lineRule="auto"/>
        <w:rPr>
          <w:sz w:val="20"/>
          <w:szCs w:val="20"/>
          <w:color w:val="auto"/>
        </w:rPr>
      </w:pPr>
      <w:r>
        <w:rPr>
          <w:rFonts w:ascii="Times New Roman" w:cs="Times New Roman" w:eastAsia="Times New Roman" w:hAnsi="Times New Roman"/>
          <w:sz w:val="20"/>
          <w:szCs w:val="20"/>
          <w:color w:val="auto"/>
        </w:rPr>
        <w:t>or derivative transaction relating to the Loan Parties and their obligations, (g) on a confidential basis to (1) any rating agency in connection</w:t>
      </w:r>
    </w:p>
    <w:p>
      <w:pPr>
        <w:spacing w:after="0" w:line="215" w:lineRule="auto"/>
        <w:rPr>
          <w:sz w:val="20"/>
          <w:szCs w:val="20"/>
          <w:color w:val="auto"/>
        </w:rPr>
      </w:pPr>
      <w:r>
        <w:rPr>
          <w:rFonts w:ascii="Times New Roman" w:cs="Times New Roman" w:eastAsia="Times New Roman" w:hAnsi="Times New Roman"/>
          <w:sz w:val="19"/>
          <w:szCs w:val="19"/>
          <w:color w:val="auto"/>
        </w:rPr>
        <w:t>with rating the Borrower or its Subsidiaries or the credit facility provided for herein or (2) the CUSIP Service Bureau or any similar agency in connection with the issuance and monitoring of CUSIP numbers with respect to the credit facility provided for herein, (h) with the consent</w:t>
      </w:r>
    </w:p>
    <w:p>
      <w:pPr>
        <w:spacing w:after="0" w:line="222" w:lineRule="auto"/>
        <w:rPr>
          <w:sz w:val="20"/>
          <w:szCs w:val="20"/>
          <w:color w:val="auto"/>
        </w:rPr>
      </w:pPr>
      <w:r>
        <w:rPr>
          <w:rFonts w:ascii="Times New Roman" w:cs="Times New Roman" w:eastAsia="Times New Roman" w:hAnsi="Times New Roman"/>
          <w:sz w:val="19"/>
          <w:szCs w:val="19"/>
          <w:color w:val="auto"/>
        </w:rPr>
        <w:t>of the Borrower, (i) to any Person providing a Guarantee of all or any portion of the Secured Obligations, or (j) to the extent such Information</w:t>
      </w:r>
    </w:p>
    <w:p>
      <w:pPr>
        <w:jc w:val="both"/>
        <w:ind w:firstLine="8"/>
        <w:spacing w:after="0" w:line="212" w:lineRule="auto"/>
        <w:tabs>
          <w:tab w:leader="none" w:pos="297"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becomes publicly available other than as a result of a breach of this Section or (y) becomes available to the Administrative Agent, the Issuing Bank or any Lender on a non-confidential basis from a source other than the Borrower. For the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the Borrower relating to the Borrower or its business, other than any such information that is available to the Administrative Agent, the Issuing Bank or any Lender on a non-confidential basis prior to disclosure by the Borrower and other than information pertaining to this Agreement provided by arrangers to data service providers, including league table providers, that serve the lending industry;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Borrower after the date hereof, such information is clearly identified at the time of delivery as confidential. Any Person required to maintain the confidentiality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7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LENDER ACKNOWLEDGES THAT INFORMATION AS DEFINED IN SECTION 9.12 FURNISHED TO IT PURSUANT TO THIS AGREEMENT MAY INCLUDE MATERIAL NON-PUBLIC INFORMATION CONCERNING THE BORROWER,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9.13 </w:t>
      </w:r>
      <w:r>
        <w:rPr>
          <w:rFonts w:ascii="Times New Roman" w:cs="Times New Roman" w:eastAsia="Times New Roman" w:hAnsi="Times New Roman"/>
          <w:sz w:val="19"/>
          <w:szCs w:val="19"/>
          <w:u w:val="single" w:color="auto"/>
          <w:color w:val="auto"/>
        </w:rPr>
        <w:t>Several Obligations; Nonreliance; Violation of Law</w:t>
      </w:r>
      <w:r>
        <w:rPr>
          <w:rFonts w:ascii="Times New Roman" w:cs="Times New Roman" w:eastAsia="Times New Roman" w:hAnsi="Times New Roman"/>
          <w:sz w:val="19"/>
          <w:szCs w:val="19"/>
          <w:color w:val="auto"/>
        </w:rPr>
        <w:t>. The respective obligations of the Lenders hereunder are several and not joint and the failure of any Lender to make any Loan or perform any of its obligations hereunder shall not relieve any other Lender from any</w:t>
      </w:r>
    </w:p>
    <w:p>
      <w:pPr>
        <w:spacing w:after="0" w:line="211" w:lineRule="auto"/>
        <w:rPr>
          <w:sz w:val="20"/>
          <w:szCs w:val="20"/>
          <w:color w:val="auto"/>
        </w:rPr>
      </w:pPr>
      <w:r>
        <w:rPr>
          <w:rFonts w:ascii="Times New Roman" w:cs="Times New Roman" w:eastAsia="Times New Roman" w:hAnsi="Times New Roman"/>
          <w:sz w:val="20"/>
          <w:szCs w:val="20"/>
          <w:color w:val="auto"/>
        </w:rPr>
        <w:t>of its obligations hereunder. Each Lender hereby represents that it is not relying on or looking to any margin stock (as defined in Regulation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U of the Federal Reserve Board) for the repayment of the Borrowings provided for herein. Anything contained in this Agreement to the contrary notwithstanding, neither the Issuing Bank nor any Lender shall be obligated to extend credit to the Borrower in violation of any</w:t>
      </w:r>
    </w:p>
    <w:p>
      <w:pPr>
        <w:spacing w:after="0" w:line="211" w:lineRule="auto"/>
        <w:rPr>
          <w:sz w:val="20"/>
          <w:szCs w:val="20"/>
          <w:color w:val="auto"/>
        </w:rPr>
      </w:pPr>
      <w:r>
        <w:rPr>
          <w:rFonts w:ascii="Times New Roman" w:cs="Times New Roman" w:eastAsia="Times New Roman" w:hAnsi="Times New Roman"/>
          <w:sz w:val="20"/>
          <w:szCs w:val="20"/>
          <w:color w:val="auto"/>
        </w:rPr>
        <w:t>Requirement of Law.</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9.14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that is subject to the requirements of the USA PATRIOT Act hereby notifies each Loan Party that pursuant to the requirements of the USA PATRIOT Act, it is required to obtain, verify and record information that identifies such</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Loan Party, which information includes the name and address of such Loan Party and other information that will allow such Lender to identify such Loan Party in accordance with the USA PATRIOT Act.</w:t>
      </w:r>
    </w:p>
    <w:p>
      <w:pPr>
        <w:spacing w:after="0" w:line="1"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0"/>
          <w:szCs w:val="20"/>
          <w:color w:val="auto"/>
        </w:rPr>
        <w:t xml:space="preserve">9.15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ind w:left="660"/>
        <w:spacing w:after="0" w:line="224" w:lineRule="auto"/>
        <w:tabs>
          <w:tab w:leader="none" w:pos="1280" w:val="left"/>
        </w:tabs>
        <w:rPr>
          <w:sz w:val="20"/>
          <w:szCs w:val="20"/>
          <w:color w:val="auto"/>
        </w:rPr>
      </w:pPr>
      <w:r>
        <w:rPr>
          <w:rFonts w:ascii="Times New Roman" w:cs="Times New Roman" w:eastAsia="Times New Roman" w:hAnsi="Times New Roman"/>
          <w:sz w:val="20"/>
          <w:szCs w:val="20"/>
          <w:color w:val="auto"/>
        </w:rPr>
        <w:t>9.16</w:t>
      </w:r>
      <w:r>
        <w:rPr>
          <w:sz w:val="20"/>
          <w:szCs w:val="20"/>
          <w:color w:val="auto"/>
        </w:rPr>
        <w:tab/>
      </w:r>
      <w:r>
        <w:rPr>
          <w:rFonts w:ascii="Times New Roman" w:cs="Times New Roman" w:eastAsia="Times New Roman" w:hAnsi="Times New Roman"/>
          <w:sz w:val="19"/>
          <w:szCs w:val="19"/>
          <w:u w:val="single" w:color="auto"/>
          <w:color w:val="auto"/>
        </w:rPr>
        <w:t>Appointment for Perfection</w:t>
      </w:r>
      <w:r>
        <w:rPr>
          <w:rFonts w:ascii="Times New Roman" w:cs="Times New Roman" w:eastAsia="Times New Roman" w:hAnsi="Times New Roman"/>
          <w:sz w:val="19"/>
          <w:szCs w:val="19"/>
          <w:color w:val="auto"/>
        </w:rPr>
        <w:t>. Each Lender hereby appoints each other Lender as its agent for the purpose of perfecting Liens,</w:t>
      </w:r>
    </w:p>
    <w:p>
      <w:pPr>
        <w:jc w:val="both"/>
        <w:spacing w:after="0" w:line="215" w:lineRule="auto"/>
        <w:rPr>
          <w:sz w:val="20"/>
          <w:szCs w:val="20"/>
          <w:color w:val="auto"/>
        </w:rPr>
      </w:pPr>
      <w:r>
        <w:rPr>
          <w:rFonts w:ascii="Times New Roman" w:cs="Times New Roman" w:eastAsia="Times New Roman" w:hAnsi="Times New Roman"/>
          <w:sz w:val="19"/>
          <w:szCs w:val="19"/>
          <w:color w:val="auto"/>
        </w:rPr>
        <w:t>for the benefit of the Administrative Agent and the Secured Parties, in assets which, in accordance with Article 9 of the UCC or any other applicable law can be perfected only by possession or control. Should any Lender (other than the Administrative Agent) obtain possession or</w:t>
      </w:r>
    </w:p>
    <w:p>
      <w:pPr>
        <w:spacing w:after="0" w:line="211" w:lineRule="auto"/>
        <w:rPr>
          <w:sz w:val="20"/>
          <w:szCs w:val="20"/>
          <w:color w:val="auto"/>
        </w:rPr>
      </w:pPr>
      <w:r>
        <w:rPr>
          <w:rFonts w:ascii="Times New Roman" w:cs="Times New Roman" w:eastAsia="Times New Roman" w:hAnsi="Times New Roman"/>
          <w:sz w:val="20"/>
          <w:szCs w:val="20"/>
          <w:color w:val="auto"/>
        </w:rPr>
        <w:t>control of any such Collateral, such Lender shall notify the Administrative Agent thereof, and, promptly upon the Administrative Agent’s</w:t>
      </w:r>
    </w:p>
    <w:p>
      <w:pPr>
        <w:jc w:val="both"/>
        <w:spacing w:after="0" w:line="204" w:lineRule="auto"/>
        <w:rPr>
          <w:sz w:val="20"/>
          <w:szCs w:val="20"/>
          <w:color w:val="auto"/>
        </w:rPr>
      </w:pPr>
      <w:r>
        <w:rPr>
          <w:rFonts w:ascii="Times New Roman" w:cs="Times New Roman" w:eastAsia="Times New Roman" w:hAnsi="Times New Roman"/>
          <w:sz w:val="20"/>
          <w:szCs w:val="20"/>
          <w:color w:val="auto"/>
        </w:rPr>
        <w:t>request therefor shall deliver such Collateral to the Administrative Agent or otherwise deal with such Collateral in accordance with the Administrative Agent’s instructions.</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9.17</w:t>
      </w:r>
      <w:r>
        <w:rPr>
          <w:sz w:val="20"/>
          <w:szCs w:val="20"/>
          <w:color w:val="auto"/>
        </w:rPr>
        <w:tab/>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 applicable to any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Loan, together with all fees, charges and other amounts which are treated as interest on such Loan under applicable law (collectively the “</w:t>
      </w:r>
      <w:r>
        <w:rPr>
          <w:rFonts w:ascii="Times New Roman" w:cs="Times New Roman" w:eastAsia="Times New Roman" w:hAnsi="Times New Roman"/>
          <w:sz w:val="19"/>
          <w:szCs w:val="19"/>
          <w:u w:val="single" w:color="auto"/>
          <w:color w:val="auto"/>
        </w:rPr>
        <w:t>Charges</w:t>
      </w:r>
      <w:r>
        <w:rPr>
          <w:rFonts w:ascii="Times New Roman" w:cs="Times New Roman" w:eastAsia="Times New Roman" w:hAnsi="Times New Roman"/>
          <w:sz w:val="19"/>
          <w:szCs w:val="19"/>
          <w:color w:val="auto"/>
        </w:rPr>
        <w:t>”), shall exceed the maximum lawful rate (the “</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which may be contracted for, charged, taken, received or reserved</w:t>
      </w:r>
    </w:p>
    <w:p>
      <w:pPr>
        <w:spacing w:after="0" w:line="211" w:lineRule="auto"/>
        <w:rPr>
          <w:sz w:val="20"/>
          <w:szCs w:val="20"/>
          <w:color w:val="auto"/>
        </w:rPr>
      </w:pPr>
      <w:r>
        <w:rPr>
          <w:rFonts w:ascii="Times New Roman" w:cs="Times New Roman" w:eastAsia="Times New Roman" w:hAnsi="Times New Roman"/>
          <w:sz w:val="20"/>
          <w:szCs w:val="20"/>
          <w:color w:val="auto"/>
        </w:rPr>
        <w:t>by the Lender holding such Loan in accordance with applicable law, the rate of interest payable in respect of such Loan hereunder, together</w:t>
      </w:r>
    </w:p>
    <w:p>
      <w:pPr>
        <w:jc w:val="both"/>
        <w:spacing w:after="0" w:line="221" w:lineRule="auto"/>
        <w:rPr>
          <w:sz w:val="20"/>
          <w:szCs w:val="20"/>
          <w:color w:val="auto"/>
        </w:rPr>
      </w:pPr>
      <w:r>
        <w:rPr>
          <w:rFonts w:ascii="Times New Roman" w:cs="Times New Roman" w:eastAsia="Times New Roman" w:hAnsi="Times New Roman"/>
          <w:sz w:val="20"/>
          <w:szCs w:val="20"/>
          <w:color w:val="auto"/>
        </w:rPr>
        <w:t>with all Charges payable in respect thereof, shall be limited to the Maximum Rate and, to the extent lawful, the interest and Charges that would have been payable in respect of such Loan but were not payable as a result of the operation of this Section shall be cumulated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the interest and Charges payable to such Lender in respect of other Loans or periods shall be increased (but not above the Maximum Rate</w:t>
      </w:r>
    </w:p>
    <w:p>
      <w:pPr>
        <w:spacing w:after="0" w:line="6"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therefor) until such cumulated amount, together with interest thereon at the NYFRB Rate to the date of repayment, shall have been received by such Lender.</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9.18</w:t>
      </w:r>
      <w:r>
        <w:rPr>
          <w:sz w:val="20"/>
          <w:szCs w:val="20"/>
          <w:color w:val="auto"/>
        </w:rPr>
        <w:tab/>
      </w:r>
      <w:r>
        <w:rPr>
          <w:rFonts w:ascii="Times New Roman" w:cs="Times New Roman" w:eastAsia="Times New Roman" w:hAnsi="Times New Roman"/>
          <w:sz w:val="20"/>
          <w:szCs w:val="20"/>
          <w:u w:val="single" w:color="auto"/>
          <w:color w:val="auto"/>
        </w:rPr>
        <w:t>No Fiduciary Duty, etc.</w:t>
      </w:r>
      <w:r>
        <w:rPr>
          <w:rFonts w:ascii="Times New Roman" w:cs="Times New Roman" w:eastAsia="Times New Roman" w:hAnsi="Times New Roman"/>
          <w:sz w:val="20"/>
          <w:szCs w:val="20"/>
          <w:color w:val="auto"/>
        </w:rPr>
        <w:t>. (a) Each Loan Party acknowledges and agrees, and acknowledges its Subsidiaries’ understanding,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that no Credit Party will have any obligations except those obligations expressly set forth herein and in the other Loan Documents and each Credit Party is acting solely in the capacity of an arm’s length contractual counterparty to the Loan Parties with respect to the Loan</w:t>
      </w:r>
    </w:p>
    <w:p>
      <w:pPr>
        <w:spacing w:after="0" w:line="211" w:lineRule="auto"/>
        <w:rPr>
          <w:sz w:val="20"/>
          <w:szCs w:val="20"/>
          <w:color w:val="auto"/>
        </w:rPr>
      </w:pPr>
      <w:r>
        <w:rPr>
          <w:rFonts w:ascii="Times New Roman" w:cs="Times New Roman" w:eastAsia="Times New Roman" w:hAnsi="Times New Roman"/>
          <w:sz w:val="20"/>
          <w:szCs w:val="20"/>
          <w:color w:val="auto"/>
        </w:rPr>
        <w:t>Documents and the transactions contemplated therein and not as a financial advisor or a fiduciary to, or an agent of, any Loan Party or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other person. Each Loan Party agrees that it will not assert any claim against any Credit Party based on an alleged breach of fiduciary duty by such Credit Party in connection with this Agreement and the transactions contemplated by the Loan Documents. Additionally, each Loan</w:t>
      </w:r>
    </w:p>
    <w:p>
      <w:pPr>
        <w:spacing w:after="0" w:line="211" w:lineRule="auto"/>
        <w:rPr>
          <w:sz w:val="20"/>
          <w:szCs w:val="20"/>
          <w:color w:val="auto"/>
        </w:rPr>
      </w:pPr>
      <w:r>
        <w:rPr>
          <w:rFonts w:ascii="Times New Roman" w:cs="Times New Roman" w:eastAsia="Times New Roman" w:hAnsi="Times New Roman"/>
          <w:sz w:val="20"/>
          <w:szCs w:val="20"/>
          <w:color w:val="auto"/>
        </w:rPr>
        <w:t>Party acknowledges and agrees that no Credit Party is advising the Loan Parties as to any legal, tax, investment, accounting, regulatory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other matters in any jurisdiction. Each Loan Party shall consult with its own advisors concerning such matters and shall be responsible for making its own independent investigation and appraisal of the transactions contemplated by the Loan Documents, and the Credit Parties</w:t>
      </w:r>
    </w:p>
    <w:p>
      <w:pPr>
        <w:spacing w:after="0" w:line="225" w:lineRule="auto"/>
        <w:rPr>
          <w:sz w:val="20"/>
          <w:szCs w:val="20"/>
          <w:color w:val="auto"/>
        </w:rPr>
      </w:pPr>
      <w:r>
        <w:rPr>
          <w:rFonts w:ascii="Times New Roman" w:cs="Times New Roman" w:eastAsia="Times New Roman" w:hAnsi="Times New Roman"/>
          <w:sz w:val="20"/>
          <w:szCs w:val="20"/>
          <w:color w:val="auto"/>
        </w:rPr>
        <w:t>shall have no responsibility or liability to any Loan Party with respect thereto.</w:t>
      </w:r>
    </w:p>
    <w:p>
      <w:pPr>
        <w:spacing w:after="0" w:line="1" w:lineRule="exact"/>
        <w:rPr>
          <w:sz w:val="20"/>
          <w:szCs w:val="20"/>
          <w:color w:val="auto"/>
        </w:rPr>
      </w:pPr>
    </w:p>
    <w:p>
      <w:pPr>
        <w:jc w:val="both"/>
        <w:ind w:firstLine="656"/>
        <w:spacing w:after="0" w:line="248" w:lineRule="auto"/>
        <w:tabs>
          <w:tab w:leader="none" w:pos="1136"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Loan Party or its Affiliates and other companies with which any Loan Party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2" w:lineRule="exact"/>
        <w:rPr>
          <w:rFonts w:ascii="Times New Roman" w:cs="Times New Roman" w:eastAsia="Times New Roman" w:hAnsi="Times New Roman"/>
          <w:sz w:val="20"/>
          <w:szCs w:val="20"/>
          <w:color w:val="auto"/>
        </w:rPr>
      </w:pPr>
    </w:p>
    <w:p>
      <w:pPr>
        <w:jc w:val="both"/>
        <w:ind w:firstLine="656"/>
        <w:spacing w:after="0" w:line="251" w:lineRule="auto"/>
        <w:tabs>
          <w:tab w:leader="none" w:pos="1162"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each Loan Party acknowledges and agrees, and acknowledges its Subsidiaries’ understanding, that each Credit Party and its affiliates may be providing debt financing, equity capital or other services (including financial advisory services) to other companies in respect of which a Loan Party or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or its Subsidiaries in connection with the performance by such Credit Party of services for other companies, and no Credit Party will furnish any such information to other companies. Each Loan Party also acknowledges that no Credit Party has any obligation to use in connection with the transactions contemplated by the Loan Documents, or to furnish to any Loan Party, confidential information obtained from other companies.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9.19</w:t>
      </w:r>
      <w:r>
        <w:rPr>
          <w:sz w:val="20"/>
          <w:szCs w:val="20"/>
          <w:color w:val="auto"/>
        </w:rPr>
        <w:tab/>
      </w:r>
      <w:r>
        <w:rPr>
          <w:rFonts w:ascii="Times New Roman" w:cs="Times New Roman" w:eastAsia="Times New Roman" w:hAnsi="Times New Roman"/>
          <w:sz w:val="20"/>
          <w:szCs w:val="20"/>
          <w:u w:val="single" w:color="auto"/>
          <w:color w:val="auto"/>
        </w:rPr>
        <w:t>Marketing Consent</w:t>
      </w:r>
      <w:r>
        <w:rPr>
          <w:rFonts w:ascii="Times New Roman" w:cs="Times New Roman" w:eastAsia="Times New Roman" w:hAnsi="Times New Roman"/>
          <w:sz w:val="20"/>
          <w:szCs w:val="20"/>
          <w:color w:val="auto"/>
        </w:rPr>
        <w:t>. The Borrower hereby authorizes BMO and its affiliates (collectively, the “</w:t>
      </w:r>
      <w:r>
        <w:rPr>
          <w:rFonts w:ascii="Times New Roman" w:cs="Times New Roman" w:eastAsia="Times New Roman" w:hAnsi="Times New Roman"/>
          <w:sz w:val="20"/>
          <w:szCs w:val="20"/>
          <w:u w:val="single" w:color="auto"/>
          <w:color w:val="auto"/>
        </w:rPr>
        <w:t>BMO Parties</w:t>
      </w:r>
      <w:r>
        <w:rPr>
          <w:rFonts w:ascii="Times New Roman" w:cs="Times New Roman" w:eastAsia="Times New Roman" w:hAnsi="Times New Roman"/>
          <w:sz w:val="20"/>
          <w:szCs w:val="20"/>
          <w:color w:val="auto"/>
        </w:rPr>
        <w:t>”), at their</w:t>
      </w:r>
    </w:p>
    <w:p>
      <w:pPr>
        <w:spacing w:after="0" w:line="215" w:lineRule="auto"/>
        <w:rPr>
          <w:sz w:val="20"/>
          <w:szCs w:val="20"/>
          <w:color w:val="auto"/>
        </w:rPr>
      </w:pPr>
      <w:r>
        <w:rPr>
          <w:rFonts w:ascii="Times New Roman" w:cs="Times New Roman" w:eastAsia="Times New Roman" w:hAnsi="Times New Roman"/>
          <w:sz w:val="19"/>
          <w:szCs w:val="19"/>
          <w:color w:val="auto"/>
        </w:rPr>
        <w:t>respective sole expense, and without any prior approval by the Borrower, to include the Borrower’s name and logo in advertising, marketing, tombstones, case studies and training materials, and to give such other publicity to this Agreement as BMO Parties may from time to time</w:t>
      </w:r>
    </w:p>
    <w:p>
      <w:pPr>
        <w:spacing w:after="0" w:line="204" w:lineRule="auto"/>
        <w:rPr>
          <w:sz w:val="20"/>
          <w:szCs w:val="20"/>
          <w:color w:val="auto"/>
        </w:rPr>
      </w:pPr>
      <w:r>
        <w:rPr>
          <w:rFonts w:ascii="Times New Roman" w:cs="Times New Roman" w:eastAsia="Times New Roman" w:hAnsi="Times New Roman"/>
          <w:sz w:val="20"/>
          <w:szCs w:val="20"/>
          <w:color w:val="auto"/>
        </w:rPr>
        <w:t>determine in their sole discretion. The foregoing authorization shall remain in effect unless the Borrower notifies BMO in writing that such authorization is revoked.</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9.20 </w:t>
      </w:r>
      <w:r>
        <w:rPr>
          <w:rFonts w:ascii="Times New Roman" w:cs="Times New Roman" w:eastAsia="Times New Roman" w:hAnsi="Times New Roman"/>
          <w:sz w:val="20"/>
          <w:szCs w:val="20"/>
          <w:u w:val="single" w:color="auto"/>
          <w:color w:val="auto"/>
        </w:rPr>
        <w:t>Acknowledgment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 w:lineRule="exact"/>
        <w:rPr>
          <w:sz w:val="20"/>
          <w:szCs w:val="20"/>
          <w:color w:val="auto"/>
        </w:rPr>
      </w:pPr>
    </w:p>
    <w:p>
      <w:pPr>
        <w:ind w:firstLine="656"/>
        <w:spacing w:after="0" w:line="228" w:lineRule="auto"/>
        <w:tabs>
          <w:tab w:leader="none" w:pos="1286" w:val="left"/>
        </w:tabs>
        <w:numPr>
          <w:ilvl w:val="0"/>
          <w:numId w:val="1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76" w:lineRule="exact"/>
        <w:rPr>
          <w:sz w:val="20"/>
          <w:szCs w:val="20"/>
          <w:color w:val="auto"/>
        </w:rPr>
      </w:pPr>
    </w:p>
    <w:p>
      <w:pPr>
        <w:ind w:left="1300" w:hanging="644"/>
        <w:spacing w:after="0"/>
        <w:tabs>
          <w:tab w:leader="none" w:pos="1300" w:val="left"/>
        </w:tabs>
        <w:numPr>
          <w:ilvl w:val="0"/>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88"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reduction in full or in part or cancellation of any such liability;</w:t>
      </w:r>
    </w:p>
    <w:p>
      <w:pPr>
        <w:spacing w:after="0" w:line="175" w:lineRule="exact"/>
        <w:rPr>
          <w:rFonts w:ascii="Times New Roman" w:cs="Times New Roman" w:eastAsia="Times New Roman" w:hAnsi="Times New Roman"/>
          <w:sz w:val="20"/>
          <w:szCs w:val="20"/>
          <w:color w:val="010000"/>
        </w:rPr>
      </w:pPr>
    </w:p>
    <w:p>
      <w:pPr>
        <w:jc w:val="both"/>
        <w:ind w:left="660" w:firstLine="644"/>
        <w:spacing w:after="0" w:line="222" w:lineRule="auto"/>
        <w:tabs>
          <w:tab w:leader="none" w:pos="1955" w:val="left"/>
        </w:tabs>
        <w:numPr>
          <w:ilvl w:val="1"/>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1" w:lineRule="exact"/>
        <w:rPr>
          <w:rFonts w:ascii="Times New Roman" w:cs="Times New Roman" w:eastAsia="Times New Roman" w:hAnsi="Times New Roman"/>
          <w:sz w:val="20"/>
          <w:szCs w:val="20"/>
          <w:color w:val="010000"/>
        </w:rPr>
      </w:pPr>
    </w:p>
    <w:p>
      <w:pPr>
        <w:ind w:left="660" w:firstLine="644"/>
        <w:spacing w:after="0"/>
        <w:tabs>
          <w:tab w:leader="none" w:pos="1956" w:val="left"/>
        </w:tabs>
        <w:numPr>
          <w:ilvl w:val="1"/>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4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9.21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w:t>
      </w:r>
    </w:p>
    <w:p>
      <w:pPr>
        <w:spacing w:after="0" w:line="211" w:lineRule="auto"/>
        <w:rPr>
          <w:sz w:val="20"/>
          <w:szCs w:val="20"/>
          <w:color w:val="auto"/>
        </w:rPr>
      </w:pPr>
      <w:r>
        <w:rPr>
          <w:rFonts w:ascii="Times New Roman" w:cs="Times New Roman" w:eastAsia="Times New Roman" w:hAnsi="Times New Roman"/>
          <w:sz w:val="20"/>
          <w:szCs w:val="20"/>
          <w:color w:val="auto"/>
        </w:rPr>
        <w:t>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9.22</w:t>
      </w:r>
      <w:r>
        <w:rPr>
          <w:sz w:val="20"/>
          <w:szCs w:val="20"/>
          <w:color w:val="auto"/>
        </w:rPr>
        <w:tab/>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If, for the purposes of obtaining judgment in any court, it is necessary to convert any sum due from any</w:t>
      </w:r>
    </w:p>
    <w:p>
      <w:pPr>
        <w:jc w:val="both"/>
        <w:spacing w:after="0" w:line="215" w:lineRule="auto"/>
        <w:rPr>
          <w:sz w:val="20"/>
          <w:szCs w:val="20"/>
          <w:color w:val="auto"/>
        </w:rPr>
      </w:pPr>
      <w:r>
        <w:rPr>
          <w:rFonts w:ascii="Times New Roman" w:cs="Times New Roman" w:eastAsia="Times New Roman" w:hAnsi="Times New Roman"/>
          <w:sz w:val="19"/>
          <w:szCs w:val="19"/>
          <w:color w:val="auto"/>
        </w:rPr>
        <w:t>Loan Party under this Agreement or any other Loan Document in one currency into another currency, the rate of exchange used for such conversion shall be that at which, in accordance with normal banking procedures, the Administrative Agent could purchase the first currency</w:t>
      </w:r>
    </w:p>
    <w:p>
      <w:pPr>
        <w:spacing w:after="0" w:line="211" w:lineRule="auto"/>
        <w:rPr>
          <w:sz w:val="20"/>
          <w:szCs w:val="20"/>
          <w:color w:val="auto"/>
        </w:rPr>
      </w:pPr>
      <w:r>
        <w:rPr>
          <w:rFonts w:ascii="Times New Roman" w:cs="Times New Roman" w:eastAsia="Times New Roman" w:hAnsi="Times New Roman"/>
          <w:sz w:val="20"/>
          <w:szCs w:val="20"/>
          <w:color w:val="auto"/>
        </w:rPr>
        <w:t>with such other currency on the Business Day immediately preceding that on which final judgment is given. The obligation of each Loan</w:t>
      </w:r>
    </w:p>
    <w:p>
      <w:pPr>
        <w:jc w:val="both"/>
        <w:spacing w:after="0" w:line="204" w:lineRule="auto"/>
        <w:rPr>
          <w:sz w:val="20"/>
          <w:szCs w:val="20"/>
          <w:color w:val="auto"/>
        </w:rPr>
      </w:pPr>
      <w:r>
        <w:rPr>
          <w:rFonts w:ascii="Times New Roman" w:cs="Times New Roman" w:eastAsia="Times New Roman" w:hAnsi="Times New Roman"/>
          <w:sz w:val="20"/>
          <w:szCs w:val="20"/>
          <w:color w:val="auto"/>
        </w:rPr>
        <w:t>Party in respect of any such sum due and owing to any Secured Party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w:t>
      </w:r>
    </w:p>
    <w:p>
      <w:pPr>
        <w:spacing w:after="0" w:line="211" w:lineRule="auto"/>
        <w:rPr>
          <w:sz w:val="20"/>
          <w:szCs w:val="20"/>
          <w:color w:val="auto"/>
        </w:rPr>
      </w:pPr>
      <w:r>
        <w:rPr>
          <w:rFonts w:ascii="Times New Roman" w:cs="Times New Roman" w:eastAsia="Times New Roman" w:hAnsi="Times New Roman"/>
          <w:sz w:val="20"/>
          <w:szCs w:val="20"/>
          <w:color w:val="auto"/>
        </w:rPr>
        <w:t>provisions of this Agreement or any other Loan Document (the “</w:t>
      </w:r>
      <w:r>
        <w:rPr>
          <w:rFonts w:ascii="Times New Roman" w:cs="Times New Roman" w:eastAsia="Times New Roman" w:hAnsi="Times New Roman"/>
          <w:sz w:val="20"/>
          <w:szCs w:val="20"/>
          <w:u w:val="single" w:color="auto"/>
          <w:color w:val="auto"/>
        </w:rPr>
        <w:t>Original Currency</w:t>
      </w:r>
      <w:r>
        <w:rPr>
          <w:rFonts w:ascii="Times New Roman" w:cs="Times New Roman" w:eastAsia="Times New Roman" w:hAnsi="Times New Roman"/>
          <w:sz w:val="20"/>
          <w:szCs w:val="20"/>
          <w:color w:val="auto"/>
        </w:rPr>
        <w:t>”), be discharged only to the extent that on the Business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Day following receipt by such Secured Party of any sum adjudged to be so due in the Judgment Currency, such Secured Party may in accordance with normal banking procedures purchase the Original Currency with the Judgment Currency. If the amount of the Original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Currency so purchased is less than the sum originally due to any Secured Party from any Loan Party in the Original Currency, such Loan Party agrees, as an independent and separate obligation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the entry, enforcement or satisfaction of any such judgment, to indemnify such Secured Party for the amount of such</w:t>
      </w:r>
    </w:p>
    <w:p>
      <w:pPr>
        <w:spacing w:after="0" w:line="204" w:lineRule="auto"/>
        <w:rPr>
          <w:sz w:val="20"/>
          <w:szCs w:val="20"/>
          <w:color w:val="auto"/>
        </w:rPr>
      </w:pPr>
      <w:r>
        <w:rPr>
          <w:rFonts w:ascii="Times New Roman" w:cs="Times New Roman" w:eastAsia="Times New Roman" w:hAnsi="Times New Roman"/>
          <w:sz w:val="20"/>
          <w:szCs w:val="20"/>
          <w:color w:val="auto"/>
        </w:rPr>
        <w:t>deficiency. If the amount of the Original Currency so purchased is greater than the sum originally due to any Secured Party in the Original Currency, such Secured Party agrees to return the amount of any excess to the applicable Loan Party (or to any other Person who may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entitled thereto under applicable law).</w:t>
      </w:r>
    </w:p>
    <w:p>
      <w:pPr>
        <w:spacing w:after="0" w:line="30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010000"/>
        </w:rPr>
        <w:t>10.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Loan Guaranty</w:t>
      </w:r>
    </w:p>
    <w:p>
      <w:pPr>
        <w:spacing w:after="0" w:line="94"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Each Loan Guarantor hereby agrees that it is jointly and severally liable for, and, as a primary obligor and not merely as surety, absolutely, unconditionally and irrevocably guarantees to the Secured Parties, the prompt payment when due, whether at</w:t>
      </w:r>
    </w:p>
    <w:p>
      <w:pPr>
        <w:spacing w:after="0" w:line="224" w:lineRule="auto"/>
        <w:rPr>
          <w:sz w:val="20"/>
          <w:szCs w:val="20"/>
          <w:color w:val="auto"/>
        </w:rPr>
      </w:pPr>
      <w:r>
        <w:rPr>
          <w:rFonts w:ascii="Times New Roman" w:cs="Times New Roman" w:eastAsia="Times New Roman" w:hAnsi="Times New Roman"/>
          <w:sz w:val="19"/>
          <w:szCs w:val="19"/>
          <w:color w:val="auto"/>
        </w:rPr>
        <w:t>stated maturity, upon acceleration or otherwise, and at all times thereafter, of the Guaranteed Obligations of such Loan Guarantor. Each Loan</w:t>
      </w:r>
    </w:p>
    <w:p>
      <w:pPr>
        <w:spacing w:after="0" w:line="204" w:lineRule="auto"/>
        <w:rPr>
          <w:sz w:val="20"/>
          <w:szCs w:val="20"/>
          <w:color w:val="auto"/>
        </w:rPr>
      </w:pPr>
      <w:r>
        <w:rPr>
          <w:rFonts w:ascii="Times New Roman" w:cs="Times New Roman" w:eastAsia="Times New Roman" w:hAnsi="Times New Roman"/>
          <w:sz w:val="20"/>
          <w:szCs w:val="20"/>
          <w:color w:val="auto"/>
        </w:rPr>
        <w:t>Guarantor further agrees that the Guaranteed Obligations may be extended or renewed in whole or in part without notice to or further assent from it, and that it remains bound upon its guarantee notwithstanding any such extension or renewal. All terms of this Loan Guaranty apply</w:t>
      </w:r>
    </w:p>
    <w:p>
      <w:pPr>
        <w:spacing w:after="0" w:line="211" w:lineRule="auto"/>
        <w:rPr>
          <w:sz w:val="20"/>
          <w:szCs w:val="20"/>
          <w:color w:val="auto"/>
        </w:rPr>
      </w:pPr>
      <w:r>
        <w:rPr>
          <w:rFonts w:ascii="Times New Roman" w:cs="Times New Roman" w:eastAsia="Times New Roman" w:hAnsi="Times New Roman"/>
          <w:sz w:val="20"/>
          <w:szCs w:val="20"/>
          <w:color w:val="auto"/>
        </w:rPr>
        <w:t>to and may be enforced by or on behalf of any domestic or foreign branch or Affiliate of any Lender that extended any portion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Guaranteed Obligations. All terms of this Loan Guaranty apply to and may be enforced by or on behalf of any domestic or foreign branch or Affiliate of any Lender that extended any portion of the Guaranteed Obligations. Each Loan Guarantor further agrees that if payment in</w:t>
      </w:r>
    </w:p>
    <w:p>
      <w:pPr>
        <w:spacing w:after="0" w:line="211" w:lineRule="auto"/>
        <w:rPr>
          <w:sz w:val="20"/>
          <w:szCs w:val="20"/>
          <w:color w:val="auto"/>
        </w:rPr>
      </w:pPr>
      <w:r>
        <w:rPr>
          <w:rFonts w:ascii="Times New Roman" w:cs="Times New Roman" w:eastAsia="Times New Roman" w:hAnsi="Times New Roman"/>
          <w:sz w:val="20"/>
          <w:szCs w:val="20"/>
          <w:color w:val="auto"/>
        </w:rPr>
        <w:t>respect of any Guaranteed Obligation shall be due in a currency other than Dollars and/or at a place of payment other than New York,</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Chicago or any other Eurocurrency Payment Office and if, by reason of any Change in Law, disruption of currency or foreign exchange markets, war or civil disturbance or other event, payment of such Guaranteed Obligation in such currency or at such place of payment shall</w:t>
      </w:r>
    </w:p>
    <w:p>
      <w:pPr>
        <w:spacing w:after="0" w:line="211" w:lineRule="auto"/>
        <w:rPr>
          <w:sz w:val="20"/>
          <w:szCs w:val="20"/>
          <w:color w:val="auto"/>
        </w:rPr>
      </w:pPr>
      <w:r>
        <w:rPr>
          <w:rFonts w:ascii="Times New Roman" w:cs="Times New Roman" w:eastAsia="Times New Roman" w:hAnsi="Times New Roman"/>
          <w:sz w:val="20"/>
          <w:szCs w:val="20"/>
          <w:color w:val="auto"/>
        </w:rPr>
        <w:t>be impossible or, in the reasonable judgment of the Administrative Agent, the Issuing Bank or any Lender (or any of its Affiliates),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disadvantageous to the Administrative Agent, the Issuing Bank or any Lender (or any of such Lender’s Affiliates) in any material respect, then, at the election of the Administrative Agent, such Loan Guarantor shall make payment of such Guaranteed Obligation in Dollars (based</w:t>
      </w:r>
    </w:p>
    <w:p>
      <w:pPr>
        <w:spacing w:after="0" w:line="211" w:lineRule="auto"/>
        <w:rPr>
          <w:sz w:val="20"/>
          <w:szCs w:val="20"/>
          <w:color w:val="auto"/>
        </w:rPr>
      </w:pPr>
      <w:r>
        <w:rPr>
          <w:rFonts w:ascii="Times New Roman" w:cs="Times New Roman" w:eastAsia="Times New Roman" w:hAnsi="Times New Roman"/>
          <w:sz w:val="20"/>
          <w:szCs w:val="20"/>
          <w:color w:val="auto"/>
        </w:rPr>
        <w:t>upon the applicable equivalent amount in effect on the date of payment) and/or in New York, Chicago or such other Eurocurrency Payment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Office as is designated by the Administrative Agent or such Lender and, as a separate and independent obligation, shall indemnify the Administrative Agent, the Issuing Bank and any Lender (and such Lender’s Affiliates) against any losses or reasonable out-of-pocket</w:t>
      </w:r>
    </w:p>
    <w:p>
      <w:pPr>
        <w:spacing w:after="0" w:line="197" w:lineRule="auto"/>
        <w:rPr>
          <w:sz w:val="20"/>
          <w:szCs w:val="20"/>
          <w:color w:val="auto"/>
        </w:rPr>
      </w:pPr>
      <w:r>
        <w:rPr>
          <w:rFonts w:ascii="Times New Roman" w:cs="Times New Roman" w:eastAsia="Times New Roman" w:hAnsi="Times New Roman"/>
          <w:sz w:val="20"/>
          <w:szCs w:val="20"/>
          <w:color w:val="auto"/>
        </w:rPr>
        <w:t>expenses that it shall sustain as a result of such alternative payment.</w:t>
      </w:r>
    </w:p>
    <w:p>
      <w:pPr>
        <w:spacing w:after="0" w:line="1"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Guaranty of Payment</w:t>
      </w:r>
      <w:r>
        <w:rPr>
          <w:rFonts w:ascii="Times New Roman" w:cs="Times New Roman" w:eastAsia="Times New Roman" w:hAnsi="Times New Roman"/>
          <w:sz w:val="20"/>
          <w:szCs w:val="20"/>
          <w:color w:val="auto"/>
        </w:rPr>
        <w:t>. This Loan Guaranty is a guaranty of payment and not of collection. Each Loan Guarantor waives any right to require the Administrative Agent, the Issuing Bank or any Lender to sue the Borrower, any Loan Guarantor, any other guarantor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any other Person obligated for all or any part of the Guaranteed Obligations (each, an “</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or otherwise to enforce its payment against any collateral securing all or any part of the Guaranteed Obligations.</w:t>
      </w:r>
    </w:p>
    <w:p>
      <w:pPr>
        <w:ind w:left="660"/>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u w:val="single" w:color="auto"/>
          <w:color w:val="auto"/>
        </w:rPr>
        <w:t>No Discharge or Diminishment of Loan Guaranty</w:t>
      </w:r>
      <w:r>
        <w:rPr>
          <w:rFonts w:ascii="Times New Roman" w:cs="Times New Roman" w:eastAsia="Times New Roman" w:hAnsi="Times New Roman"/>
          <w:sz w:val="19"/>
          <w:szCs w:val="19"/>
          <w:color w:val="auto"/>
        </w:rPr>
        <w:t>.</w:t>
      </w:r>
    </w:p>
    <w:p>
      <w:pPr>
        <w:jc w:val="both"/>
        <w:ind w:firstLine="656"/>
        <w:spacing w:after="0" w:line="210" w:lineRule="auto"/>
        <w:tabs>
          <w:tab w:leader="none" w:pos="1286" w:val="left"/>
        </w:tabs>
        <w:numPr>
          <w:ilvl w:val="0"/>
          <w:numId w:val="1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otherwise provided for herein, the obligations of each Loan Guarantor hereunder are unconditional and absolute and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 (ii) any change in the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163"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4" w:val="left"/>
        </w:tabs>
        <w:numPr>
          <w:ilvl w:val="0"/>
          <w:numId w:val="1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76" w:lineRule="exact"/>
        <w:rPr>
          <w:sz w:val="20"/>
          <w:szCs w:val="20"/>
          <w:color w:val="auto"/>
        </w:rPr>
      </w:pPr>
    </w:p>
    <w:p>
      <w:pPr>
        <w:jc w:val="both"/>
        <w:ind w:firstLine="656"/>
        <w:spacing w:after="0" w:line="212" w:lineRule="auto"/>
        <w:tabs>
          <w:tab w:leader="none" w:pos="1286" w:val="left"/>
        </w:tabs>
        <w:numPr>
          <w:ilvl w:val="0"/>
          <w:numId w:val="1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Payment in Full of the Guaranteed Obligations).</w:t>
      </w:r>
    </w:p>
    <w:p>
      <w:pPr>
        <w:spacing w:after="0" w:line="16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Defenses Waived</w:t>
      </w:r>
      <w:r>
        <w:rPr>
          <w:rFonts w:ascii="Times New Roman" w:cs="Times New Roman" w:eastAsia="Times New Roman" w:hAnsi="Times New Roman"/>
          <w:sz w:val="20"/>
          <w:szCs w:val="20"/>
          <w:color w:val="auto"/>
        </w:rPr>
        <w:t>. To the fullest extent permitted by applicable law, each Loan Guarantor hereby waives any defense based on or arising out of any defense of the Borrower or any Loan Guarantor or the unenforceability of all or any part of the Guaranteed</w:t>
      </w:r>
    </w:p>
    <w:p>
      <w:pPr>
        <w:spacing w:after="0" w:line="212" w:lineRule="auto"/>
        <w:rPr>
          <w:sz w:val="20"/>
          <w:szCs w:val="20"/>
          <w:color w:val="auto"/>
        </w:rPr>
      </w:pPr>
      <w:r>
        <w:rPr>
          <w:rFonts w:ascii="Times New Roman" w:cs="Times New Roman" w:eastAsia="Times New Roman" w:hAnsi="Times New Roman"/>
          <w:sz w:val="20"/>
          <w:szCs w:val="20"/>
          <w:color w:val="auto"/>
        </w:rPr>
        <w:t>Obligations from any cause, or the cessation from any cause of the liability of the Borrower, any Loan Guarantor or any other Obligated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Party, other than the Payment in Full of the Guaranteed Obligations. Without limiting the generality of the foregoing, each Loan Guarantor irrevocably waives acceptance hereof, presentment, demand, protest and, to the fullest extent permitted by law, any notice not provided for</w:t>
      </w:r>
    </w:p>
    <w:p>
      <w:pPr>
        <w:spacing w:after="0" w:line="211" w:lineRule="auto"/>
        <w:rPr>
          <w:sz w:val="20"/>
          <w:szCs w:val="20"/>
          <w:color w:val="auto"/>
        </w:rPr>
      </w:pPr>
      <w:r>
        <w:rPr>
          <w:rFonts w:ascii="Times New Roman" w:cs="Times New Roman" w:eastAsia="Times New Roman" w:hAnsi="Times New Roman"/>
          <w:sz w:val="20"/>
          <w:szCs w:val="20"/>
          <w:color w:val="auto"/>
        </w:rPr>
        <w:t>herein, as well as any requirement that at any time any action be taken by any Person against any Obligated Party, or any other Person. Each</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w:t>
      </w:r>
    </w:p>
    <w:p>
      <w:pPr>
        <w:spacing w:after="0" w:line="222" w:lineRule="auto"/>
        <w:rPr>
          <w:sz w:val="20"/>
          <w:szCs w:val="20"/>
          <w:color w:val="auto"/>
        </w:rPr>
      </w:pPr>
      <w:r>
        <w:rPr>
          <w:rFonts w:ascii="Times New Roman" w:cs="Times New Roman" w:eastAsia="Times New Roman" w:hAnsi="Times New Roman"/>
          <w:sz w:val="19"/>
          <w:szCs w:val="19"/>
          <w:color w:val="auto"/>
        </w:rPr>
        <w:t>Party or exercise any other right or remedy available to it against any Obligated Party, without affecting or impairing in any way the liability</w:t>
      </w:r>
    </w:p>
    <w:p>
      <w:pPr>
        <w:spacing w:after="0" w:line="204" w:lineRule="auto"/>
        <w:rPr>
          <w:sz w:val="20"/>
          <w:szCs w:val="20"/>
          <w:color w:val="auto"/>
        </w:rPr>
      </w:pPr>
      <w:r>
        <w:rPr>
          <w:rFonts w:ascii="Times New Roman" w:cs="Times New Roman" w:eastAsia="Times New Roman" w:hAnsi="Times New Roman"/>
          <w:sz w:val="20"/>
          <w:szCs w:val="20"/>
          <w:color w:val="auto"/>
        </w:rPr>
        <w:t>of such Loan Guarantor under this Loan Guaranty, except to the extent the Guaranteed Obligations have been Paid in Full. To the fullest extent permitted by applicable law, each Loan Guarantor waives any defense arising out of any such election even though that election may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operate, pursuant to applicable law, to impair or extinguish any right of reimbursement or subrogation or other right or remedy of any Loan Guarantor against any Obligated Party or any security.</w:t>
      </w:r>
    </w:p>
    <w:p>
      <w:pPr>
        <w:spacing w:after="0" w:line="1"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Rights of Subrogation</w:t>
      </w:r>
      <w:r>
        <w:rPr>
          <w:rFonts w:ascii="Times New Roman" w:cs="Times New Roman" w:eastAsia="Times New Roman" w:hAnsi="Times New Roman"/>
          <w:sz w:val="20"/>
          <w:szCs w:val="20"/>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u w:val="single" w:color="auto"/>
          <w:color w:val="auto"/>
        </w:rPr>
        <w:t>Reinstatement; Stay of Acceleration</w:t>
      </w:r>
      <w:r>
        <w:rPr>
          <w:rFonts w:ascii="Times New Roman" w:cs="Times New Roman" w:eastAsia="Times New Roman" w:hAnsi="Times New Roman"/>
          <w:sz w:val="20"/>
          <w:szCs w:val="20"/>
          <w:color w:val="auto"/>
        </w:rPr>
        <w:t>. If at any time any payment of any portion of the Guaranteed Obligations (including a payment effected through exercise of a right of setoff) is rescinded, or must otherwise be restored or returned upon the insolvency,</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bankruptcy or reorganization of the Borrower or otherwise (including pursuant to any settlement entered into by a Secured Party in its discretion), each Loan Guarantor’s obligations under this Loan Guaranty with respect to that payment shall be reinstated at such time as</w:t>
      </w:r>
    </w:p>
    <w:p>
      <w:pPr>
        <w:spacing w:after="0" w:line="211" w:lineRule="auto"/>
        <w:rPr>
          <w:sz w:val="20"/>
          <w:szCs w:val="20"/>
          <w:color w:val="auto"/>
        </w:rPr>
      </w:pPr>
      <w:r>
        <w:rPr>
          <w:rFonts w:ascii="Times New Roman" w:cs="Times New Roman" w:eastAsia="Times New Roman" w:hAnsi="Times New Roman"/>
          <w:sz w:val="20"/>
          <w:szCs w:val="20"/>
          <w:color w:val="auto"/>
        </w:rPr>
        <w:t>though the payment had not been made and whether or not the Administrative Agent, the Issuing Bank and the Lenders are in possession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this Loan Guaranty. If acceleration of the time for payment of any of the Guaranteed Obligations is stayed upon the insolvency, bankruptcy or reorganization of the Borrower, all such amounts otherwise subject to acceleration under the terms of any agreement relating to the</w:t>
      </w:r>
    </w:p>
    <w:p>
      <w:pPr>
        <w:spacing w:after="0" w:line="211" w:lineRule="auto"/>
        <w:rPr>
          <w:sz w:val="20"/>
          <w:szCs w:val="20"/>
          <w:color w:val="auto"/>
        </w:rPr>
      </w:pPr>
      <w:r>
        <w:rPr>
          <w:rFonts w:ascii="Times New Roman" w:cs="Times New Roman" w:eastAsia="Times New Roman" w:hAnsi="Times New Roman"/>
          <w:sz w:val="20"/>
          <w:szCs w:val="20"/>
          <w:color w:val="auto"/>
        </w:rPr>
        <w:t>Guaranteed Obligations shall nonetheless be payable by the Loan Guarantors forthwith on demand by the Administrative Agent.</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Each Loan Guarantor assumes all responsibility for being and keeping itself informed of the Borrower’s financial condition and assets, and of all other circumstances bearing upon the risk of nonpayment of the Guaranteed Obligations and the</w:t>
      </w:r>
    </w:p>
    <w:p>
      <w:pPr>
        <w:spacing w:after="0" w:line="211" w:lineRule="auto"/>
        <w:rPr>
          <w:sz w:val="20"/>
          <w:szCs w:val="20"/>
          <w:color w:val="auto"/>
        </w:rPr>
      </w:pPr>
      <w:r>
        <w:rPr>
          <w:rFonts w:ascii="Times New Roman" w:cs="Times New Roman" w:eastAsia="Times New Roman" w:hAnsi="Times New Roman"/>
          <w:sz w:val="20"/>
          <w:szCs w:val="20"/>
          <w:color w:val="auto"/>
        </w:rPr>
        <w:t>nature, scope and extent of the risks that each Loan Guarantor assumes and incurs under this Loan Guaranty, and agrees that none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the Issuing Bank or any Lender shall have any duty to advise any Loan Guarantor of information known to it regarding those circumstances or risks.</w:t>
      </w:r>
    </w:p>
    <w:p>
      <w:pPr>
        <w:ind w:left="660"/>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u w:val="single" w:color="auto"/>
          <w:color w:val="auto"/>
        </w:rPr>
        <w:t>Release of Loan Guarantors</w:t>
      </w:r>
      <w:r>
        <w:rPr>
          <w:rFonts w:ascii="Times New Roman" w:cs="Times New Roman" w:eastAsia="Times New Roman" w:hAnsi="Times New Roman"/>
          <w:sz w:val="19"/>
          <w:szCs w:val="19"/>
          <w:color w:val="auto"/>
        </w:rPr>
        <w:t>.</w:t>
      </w:r>
    </w:p>
    <w:p>
      <w:pPr>
        <w:ind w:firstLine="656"/>
        <w:spacing w:after="0" w:line="221" w:lineRule="auto"/>
        <w:tabs>
          <w:tab w:leader="none" w:pos="1286"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Subsidiary Guarantor shall automatically be released from its obligations under the Loan Guaranty upon the consummation of any transaction permitted by this Agreement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which such Subsidiary Guarantor ceases to be a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so required by this Agreement, the Required Lenders shall have</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consented to such transaction and the terms of such consent shall not have provided otherwise. In connection with any termination or release pursuant to this Section, the Administrative Agent shall (and is hereby irrevocably authorized by each Lender to) execute and deliver to any</w:t>
      </w:r>
    </w:p>
    <w:p>
      <w:pPr>
        <w:spacing w:after="0" w:line="211" w:lineRule="auto"/>
        <w:rPr>
          <w:sz w:val="20"/>
          <w:szCs w:val="20"/>
          <w:color w:val="auto"/>
        </w:rPr>
      </w:pPr>
      <w:r>
        <w:rPr>
          <w:rFonts w:ascii="Times New Roman" w:cs="Times New Roman" w:eastAsia="Times New Roman" w:hAnsi="Times New Roman"/>
          <w:sz w:val="20"/>
          <w:szCs w:val="20"/>
          <w:color w:val="auto"/>
        </w:rPr>
        <w:t>Loan Party, at such Loan Party’s expense, all documents that such Loan Party shall reasonably request to evidence such termination or</w:t>
      </w:r>
    </w:p>
    <w:p>
      <w:pPr>
        <w:spacing w:after="0" w:line="221" w:lineRule="auto"/>
        <w:rPr>
          <w:sz w:val="20"/>
          <w:szCs w:val="20"/>
          <w:color w:val="auto"/>
        </w:rPr>
      </w:pPr>
      <w:r>
        <w:rPr>
          <w:rFonts w:ascii="Times New Roman" w:cs="Times New Roman" w:eastAsia="Times New Roman" w:hAnsi="Times New Roman"/>
          <w:sz w:val="20"/>
          <w:szCs w:val="20"/>
          <w:color w:val="auto"/>
        </w:rPr>
        <w:t>release. Any execution and delivery of documents pursuant to this Section shall be without recourse to or warranty by the Administrative Agent.</w:t>
      </w:r>
    </w:p>
    <w:p>
      <w:pPr>
        <w:spacing w:after="0" w:line="162" w:lineRule="exact"/>
        <w:rPr>
          <w:sz w:val="20"/>
          <w:szCs w:val="20"/>
          <w:color w:val="auto"/>
        </w:rPr>
      </w:pPr>
    </w:p>
    <w:p>
      <w:pPr>
        <w:jc w:val="both"/>
        <w:ind w:firstLine="656"/>
        <w:spacing w:after="0" w:line="226" w:lineRule="auto"/>
        <w:tabs>
          <w:tab w:leader="none" w:pos="1284" w:val="left"/>
        </w:tabs>
        <w:numPr>
          <w:ilvl w:val="0"/>
          <w:numId w:val="1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Further, the Administrative Agent shall (and is hereby irrevocably authorized by each Lender to), upon the request of the Borrower, release any Subsidiary Guarantor from its obligations under the Loan Guaranty if such Subsidiary Guarantor is no longer a Material Subsidiary.</w:t>
      </w:r>
    </w:p>
    <w:p>
      <w:pPr>
        <w:spacing w:after="0" w:line="160"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86" w:val="left"/>
        </w:tabs>
        <w:numPr>
          <w:ilvl w:val="0"/>
          <w:numId w:val="1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Payment in Full of all Secured Obligations, the Loan Guaranty and all obligations (other than those expressly stated to survive such termination) of each Loan Guarantor thereunder shall automatically terminate, all without delivery of any instrument or performance of any act by any Person.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Each payment of the Guaranteed Obligations will be made by each Loan Guarantor without withholding for any</w:t>
      </w:r>
    </w:p>
    <w:p>
      <w:pPr>
        <w:spacing w:after="0" w:line="215" w:lineRule="auto"/>
        <w:rPr>
          <w:sz w:val="20"/>
          <w:szCs w:val="20"/>
          <w:color w:val="auto"/>
        </w:rPr>
      </w:pPr>
      <w:r>
        <w:rPr>
          <w:rFonts w:ascii="Times New Roman" w:cs="Times New Roman" w:eastAsia="Times New Roman" w:hAnsi="Times New Roman"/>
          <w:sz w:val="19"/>
          <w:szCs w:val="19"/>
          <w:color w:val="auto"/>
        </w:rPr>
        <w:t>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w:t>
      </w:r>
    </w:p>
    <w:p>
      <w:pPr>
        <w:spacing w:after="0" w:line="211" w:lineRule="auto"/>
        <w:rPr>
          <w:sz w:val="20"/>
          <w:szCs w:val="20"/>
          <w:color w:val="auto"/>
        </w:rPr>
      </w:pPr>
      <w:r>
        <w:rPr>
          <w:rFonts w:ascii="Times New Roman" w:cs="Times New Roman" w:eastAsia="Times New Roman" w:hAnsi="Times New Roman"/>
          <w:sz w:val="20"/>
          <w:szCs w:val="20"/>
          <w:color w:val="auto"/>
        </w:rPr>
        <w:t>Governmental Authority in accordance with applicable law. If such Taxes are Indemnified Taxes, then the amount payable by such Loan</w:t>
      </w:r>
    </w:p>
    <w:p>
      <w:pPr>
        <w:spacing w:after="0" w:line="204" w:lineRule="auto"/>
        <w:rPr>
          <w:sz w:val="20"/>
          <w:szCs w:val="20"/>
          <w:color w:val="auto"/>
        </w:rPr>
      </w:pPr>
      <w:r>
        <w:rPr>
          <w:rFonts w:ascii="Times New Roman" w:cs="Times New Roman" w:eastAsia="Times New Roman" w:hAnsi="Times New Roman"/>
          <w:sz w:val="20"/>
          <w:szCs w:val="20"/>
          <w:color w:val="auto"/>
        </w:rPr>
        <w:t>Guarantor shall be increased as necessary so that, net of such withholding (including such withholding applicable to additional amounts payable under this Section), the Administrative Agent, Lender or Issuing Bank (as the case may be) receives the amount it would have</w:t>
      </w:r>
    </w:p>
    <w:p>
      <w:pPr>
        <w:spacing w:after="0" w:line="197" w:lineRule="auto"/>
        <w:rPr>
          <w:sz w:val="20"/>
          <w:szCs w:val="20"/>
          <w:color w:val="auto"/>
        </w:rPr>
      </w:pPr>
      <w:r>
        <w:rPr>
          <w:rFonts w:ascii="Times New Roman" w:cs="Times New Roman" w:eastAsia="Times New Roman" w:hAnsi="Times New Roman"/>
          <w:sz w:val="20"/>
          <w:szCs w:val="20"/>
          <w:color w:val="auto"/>
        </w:rPr>
        <w:t>received had no such withholding been made.</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u w:val="single" w:color="auto"/>
          <w:color w:val="auto"/>
        </w:rPr>
        <w:t>Maximum Liability</w:t>
      </w:r>
      <w:r>
        <w:rPr>
          <w:rFonts w:ascii="Times New Roman" w:cs="Times New Roman" w:eastAsia="Times New Roman" w:hAnsi="Times New Roman"/>
          <w:sz w:val="20"/>
          <w:szCs w:val="20"/>
          <w:color w:val="auto"/>
        </w:rPr>
        <w:t>. Notwithstanding any other provision of this Loan Guaranty, the amount guaranteed by each Loan Guarantor hereunder shall be limited to the extent, if any, required so that its obligations hereunder shall not be subject to avoidance under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Section 548 of the Bankruptcy Code or under any applicable state Uniform Fraudulent Transfer Act, Uniform Fraudulent Conveyance Act, Uniform Voidable Transactions Act or similar statute or common law. In determining the limitations, if any, on the amount of any Loan</w:t>
      </w:r>
    </w:p>
    <w:p>
      <w:pPr>
        <w:spacing w:after="0" w:line="211" w:lineRule="auto"/>
        <w:rPr>
          <w:sz w:val="20"/>
          <w:szCs w:val="20"/>
          <w:color w:val="auto"/>
        </w:rPr>
      </w:pPr>
      <w:r>
        <w:rPr>
          <w:rFonts w:ascii="Times New Roman" w:cs="Times New Roman" w:eastAsia="Times New Roman" w:hAnsi="Times New Roman"/>
          <w:sz w:val="20"/>
          <w:szCs w:val="20"/>
          <w:color w:val="auto"/>
        </w:rPr>
        <w:t>Guarantor’s obligations hereunder pursuant to the preceding sentence, it is the intention of the parties hereto that any rights of subrogation,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indemnification or contribution which such Loan Guarantor may have under this Loan Guaranty, any other agreement or applicable law shall be taken into account.</w:t>
      </w:r>
    </w:p>
    <w:p>
      <w:pPr>
        <w:ind w:left="660"/>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19"/>
          <w:szCs w:val="19"/>
          <w:u w:val="single" w:color="auto"/>
          <w:color w:val="auto"/>
        </w:rPr>
        <w:t>Contribution</w:t>
      </w:r>
      <w:r>
        <w:rPr>
          <w:rFonts w:ascii="Times New Roman" w:cs="Times New Roman" w:eastAsia="Times New Roman" w:hAnsi="Times New Roman"/>
          <w:sz w:val="19"/>
          <w:szCs w:val="19"/>
          <w:color w:val="auto"/>
        </w:rPr>
        <w:t>.</w:t>
      </w:r>
    </w:p>
    <w:p>
      <w:pPr>
        <w:jc w:val="both"/>
        <w:ind w:firstLine="656"/>
        <w:spacing w:after="0" w:line="210" w:lineRule="auto"/>
        <w:tabs>
          <w:tab w:leader="none" w:pos="1286" w:val="left"/>
        </w:tabs>
        <w:numPr>
          <w:ilvl w:val="0"/>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that any Loan Guarantor shall make a payment under this Loan Guaranty (a “</w:t>
      </w:r>
      <w:r>
        <w:rPr>
          <w:rFonts w:ascii="Times New Roman" w:cs="Times New Roman" w:eastAsia="Times New Roman" w:hAnsi="Times New Roman"/>
          <w:sz w:val="20"/>
          <w:szCs w:val="20"/>
          <w:u w:val="single" w:color="auto"/>
          <w:color w:val="auto"/>
        </w:rPr>
        <w:t>Guarantor Payment</w:t>
      </w:r>
      <w:r>
        <w:rPr>
          <w:rFonts w:ascii="Times New Roman" w:cs="Times New Roman" w:eastAsia="Times New Roman" w:hAnsi="Times New Roman"/>
          <w:sz w:val="20"/>
          <w:szCs w:val="20"/>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payment in full in cash of the Guarantor Payment,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64" w:lineRule="exact"/>
        <w:rPr>
          <w:rFonts w:ascii="Times New Roman" w:cs="Times New Roman" w:eastAsia="Times New Roman" w:hAnsi="Times New Roman"/>
          <w:sz w:val="20"/>
          <w:szCs w:val="20"/>
          <w:color w:val="010000"/>
        </w:rPr>
      </w:pPr>
    </w:p>
    <w:p>
      <w:pPr>
        <w:jc w:val="both"/>
        <w:ind w:firstLine="656"/>
        <w:spacing w:after="0" w:line="217" w:lineRule="auto"/>
        <w:tabs>
          <w:tab w:leader="none" w:pos="1284" w:val="left"/>
        </w:tabs>
        <w:numPr>
          <w:ilvl w:val="0"/>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61" w:lineRule="exact"/>
        <w:rPr>
          <w:rFonts w:ascii="Times New Roman" w:cs="Times New Roman" w:eastAsia="Times New Roman" w:hAnsi="Times New Roman"/>
          <w:sz w:val="20"/>
          <w:szCs w:val="20"/>
          <w:color w:val="010000"/>
        </w:rPr>
      </w:pPr>
    </w:p>
    <w:p>
      <w:pPr>
        <w:ind w:firstLine="656"/>
        <w:spacing w:after="0"/>
        <w:tabs>
          <w:tab w:leader="none" w:pos="1286" w:val="left"/>
        </w:tabs>
        <w:numPr>
          <w:ilvl w:val="0"/>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Section 10.11 is intended only to define the relative rights of the Loan Guarantors, and nothing set forth in this Section 10.11 is intended to or shall impair the obligations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Guarantors, jointly and severally, to pay any amounts as and when the same shall become due and payable in accordance with the terms of this Loan Guaranty.</w:t>
      </w:r>
    </w:p>
    <w:p>
      <w:pPr>
        <w:spacing w:after="0" w:line="148" w:lineRule="exact"/>
        <w:rPr>
          <w:sz w:val="20"/>
          <w:szCs w:val="20"/>
          <w:color w:val="auto"/>
        </w:rPr>
      </w:pPr>
    </w:p>
    <w:p>
      <w:pPr>
        <w:ind w:right="20" w:firstLine="656"/>
        <w:spacing w:after="0"/>
        <w:tabs>
          <w:tab w:leader="none" w:pos="1284" w:val="left"/>
        </w:tabs>
        <w:numPr>
          <w:ilvl w:val="0"/>
          <w:numId w:val="1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parties hereto acknowledge that the rights of contribution and indemnification hereunder shall constitute assets of the Loan Guarantor or Loan Guarantors to which such contribution and indemnification is owing.</w:t>
      </w:r>
    </w:p>
    <w:p>
      <w:pPr>
        <w:spacing w:after="0" w:line="161" w:lineRule="exact"/>
        <w:rPr>
          <w:rFonts w:ascii="Times New Roman" w:cs="Times New Roman" w:eastAsia="Times New Roman" w:hAnsi="Times New Roman"/>
          <w:sz w:val="20"/>
          <w:szCs w:val="20"/>
          <w:color w:val="010000"/>
        </w:rPr>
      </w:pPr>
    </w:p>
    <w:p>
      <w:pPr>
        <w:ind w:firstLine="656"/>
        <w:spacing w:after="0" w:line="233" w:lineRule="auto"/>
        <w:tabs>
          <w:tab w:leader="none" w:pos="1286" w:val="left"/>
        </w:tabs>
        <w:numPr>
          <w:ilvl w:val="0"/>
          <w:numId w:val="1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rights of the indemnifying Loan Guarantors against other Loan Guarantors under this Section 10.11 shall be exercisable upon the Payment in Full of the Guaranteed Obligations and the termination of this Agreement.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u w:val="single" w:color="auto"/>
          <w:color w:val="auto"/>
        </w:rPr>
        <w:t>Liability Cumulative</w:t>
      </w:r>
      <w:r>
        <w:rPr>
          <w:rFonts w:ascii="Times New Roman" w:cs="Times New Roman" w:eastAsia="Times New Roman" w:hAnsi="Times New Roman"/>
          <w:sz w:val="19"/>
          <w:szCs w:val="19"/>
          <w:color w:val="auto"/>
        </w:rPr>
        <w:t>. The liability of each Loan Party as a Loan Guarantor under this Article X is in addition to and shall be</w:t>
      </w:r>
    </w:p>
    <w:p>
      <w:pPr>
        <w:spacing w:after="0" w:line="215" w:lineRule="auto"/>
        <w:rPr>
          <w:sz w:val="20"/>
          <w:szCs w:val="20"/>
          <w:color w:val="auto"/>
        </w:rPr>
      </w:pPr>
      <w:r>
        <w:rPr>
          <w:rFonts w:ascii="Times New Roman" w:cs="Times New Roman" w:eastAsia="Times New Roman" w:hAnsi="Times New Roman"/>
          <w:sz w:val="19"/>
          <w:szCs w:val="19"/>
          <w:color w:val="auto"/>
        </w:rPr>
        <w:t>cumulative with all liabilities of each Loan Party to the Administrative Agent, the Issuing Bank and the Lenders under this Agreement and the other Loan Documents to which such Loan Party is a party or in respect of any obligations or liabilities of the other Loan Parties, without</w:t>
      </w:r>
    </w:p>
    <w:p>
      <w:pPr>
        <w:ind w:right="20"/>
        <w:spacing w:after="0" w:line="204" w:lineRule="auto"/>
        <w:rPr>
          <w:sz w:val="20"/>
          <w:szCs w:val="20"/>
          <w:color w:val="auto"/>
        </w:rPr>
      </w:pPr>
      <w:r>
        <w:rPr>
          <w:rFonts w:ascii="Times New Roman" w:cs="Times New Roman" w:eastAsia="Times New Roman" w:hAnsi="Times New Roman"/>
          <w:sz w:val="20"/>
          <w:szCs w:val="20"/>
          <w:color w:val="auto"/>
        </w:rPr>
        <w:t>any limitation as to amount, unless the instrument or agreement evidencing or creating such other liability specifically provides to the contrary.</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u w:val="single" w:color="auto"/>
          <w:color w:val="auto"/>
        </w:rPr>
        <w:t>Keepwell</w:t>
      </w:r>
      <w:r>
        <w:rPr>
          <w:rFonts w:ascii="Times New Roman" w:cs="Times New Roman" w:eastAsia="Times New Roman" w:hAnsi="Times New Roman"/>
          <w:sz w:val="20"/>
          <w:szCs w:val="20"/>
          <w:color w:val="auto"/>
        </w:rPr>
        <w:t>. Each Qualified ECP Guarantor hereby jointly and severally absolutely, unconditionally and irrevocably undertakes to provide such funds or other support as may be needed from time to time by each other Loan Party to honor all of its obligations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under this Guarantee in respect of a Swap Obligation (provided, however, that each Qualified ECP Guarantor shall only be liable under this Section 10.13 for the maximum amount of such liability that can be hereby incurred without rendering its obligations under this Section</w:t>
      </w:r>
    </w:p>
    <w:p>
      <w:pPr>
        <w:spacing w:after="0" w:line="211" w:lineRule="auto"/>
        <w:rPr>
          <w:sz w:val="20"/>
          <w:szCs w:val="20"/>
          <w:color w:val="auto"/>
        </w:rPr>
      </w:pPr>
      <w:r>
        <w:rPr>
          <w:rFonts w:ascii="Times New Roman" w:cs="Times New Roman" w:eastAsia="Times New Roman" w:hAnsi="Times New Roman"/>
          <w:sz w:val="20"/>
          <w:szCs w:val="20"/>
          <w:color w:val="auto"/>
        </w:rPr>
        <w:t>10.13 or otherwise under this Loan Guaranty voidable under applicable law relating to fraudulent conveyance or fraudulent transfer, and not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for any greater amount). Except as otherwise provided herein, the obligations of each Qualified ECP Guarantor under this Section 10.13 shall remain in full force and effect until the termination of all Swap Obligations. Each Qualified ECP Guarantor intends that this Section 10.13</w:t>
      </w:r>
    </w:p>
    <w:p>
      <w:pPr>
        <w:spacing w:after="0" w:line="221" w:lineRule="auto"/>
        <w:rPr>
          <w:sz w:val="20"/>
          <w:szCs w:val="20"/>
          <w:color w:val="auto"/>
        </w:rPr>
      </w:pPr>
      <w:r>
        <w:rPr>
          <w:rFonts w:ascii="Times New Roman" w:cs="Times New Roman" w:eastAsia="Times New Roman" w:hAnsi="Times New Roman"/>
          <w:sz w:val="20"/>
          <w:szCs w:val="20"/>
          <w:color w:val="auto"/>
        </w:rPr>
        <w:t>constitute, and this Section 10.13 shall be deemed to constitute, a “keepwell, support, or other agreement” for the benefit of each other Loan Party for all purposes of Section 1a(18)(A)(v)(II) of the Commodity Exchange Act.</w:t>
      </w:r>
    </w:p>
    <w:p>
      <w:pPr>
        <w:spacing w:after="0" w:line="8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010000"/>
        </w:rPr>
        <w:t>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Collection Allocation Mechanism</w:t>
      </w:r>
    </w:p>
    <w:p>
      <w:pPr>
        <w:spacing w:after="0" w:line="94" w:lineRule="exact"/>
        <w:rPr>
          <w:sz w:val="20"/>
          <w:szCs w:val="20"/>
          <w:color w:val="auto"/>
        </w:rPr>
      </w:pPr>
    </w:p>
    <w:p>
      <w:pPr>
        <w:jc w:val="both"/>
        <w:ind w:firstLine="656"/>
        <w:spacing w:after="0" w:line="210" w:lineRule="auto"/>
        <w:tabs>
          <w:tab w:leader="none" w:pos="1286" w:val="left"/>
        </w:tabs>
        <w:numPr>
          <w:ilvl w:val="0"/>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 the CAM Exchange Date, (i) the Revolving Commitments shall automatically and without further act be terminated as provided in Article VII, (ii) the principal amount of each Revolving Loan and LC Disbursement denominated in a Foreign Currency shall automatically and without any further action required, be converted into Dollars determined using the Exchange Rates calculated as of the CAM Exchange Date, equal to the Dollar Amount of such amount and on and after such date all amounts accruing and owed to any Lender in respect of such Obligations shall accrue and be payable in Dollars at the rates otherwise applicable hereunder and (iii) the Lenders shall automatically and without further act be deemed to have made reciprocal purchases of interests in the Designated Obligations such that, in lieu of the interests of each Lender in the particular Designated Obligations that it shall own as of such date and immediately prior to the CAM Exchange, such Lender shall own an interest equal to such Lender’s CAM Percentage in each Designated Obligation. Each Lender, each Person acquiring a participation from any Lender as contemplated by Section 9.04, and each Borrower hereby consents and agrees to the CAM Exchange. Each of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hereunder to the Administrative Agent against delivery of any promissory notes so executed and delivered; provided that the failure of any Borrower to execute or deliver or of any Lender to accept any such promissory note, instrument or document shall not affect the validity or effectiveness of the CAM Exchange.</w:t>
      </w:r>
    </w:p>
    <w:p>
      <w:pPr>
        <w:spacing w:after="0" w:line="167"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84" w:val="left"/>
        </w:tabs>
        <w:numPr>
          <w:ilvl w:val="0"/>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a result of the CAM Exchange, on and after the CAM Exchange Date, each payment received by the Administrative Agent pursuant to any Loan Document in respect of the Designated Obligations shall be distributed to the Lenders pro rata in accordance with their respective CAM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Percentages (to be redetermined as of each such date of payment or distribution to the extent required by paragraph (c) below).</w:t>
      </w:r>
    </w:p>
    <w:p>
      <w:pPr>
        <w:spacing w:after="0" w:line="189" w:lineRule="exact"/>
        <w:rPr>
          <w:sz w:val="20"/>
          <w:szCs w:val="20"/>
          <w:color w:val="auto"/>
        </w:rPr>
      </w:pPr>
    </w:p>
    <w:p>
      <w:pPr>
        <w:jc w:val="both"/>
        <w:ind w:firstLine="656"/>
        <w:spacing w:after="0" w:line="211" w:lineRule="auto"/>
        <w:tabs>
          <w:tab w:leader="none" w:pos="1286" w:val="left"/>
        </w:tabs>
        <w:numPr>
          <w:ilvl w:val="0"/>
          <w:numId w:val="1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that, after the CAM Exchange, the aggregate amount of the Designated Obligations shall change as a result of the making of an LC Disbursement by any Issuing Bank that is not reimbursed by any Borrower, then (i) each Lender shall, in accordance with Section 2.06(d), promptly purchase from such Issuing Bank the Dollar-equivalent of a participation in such LC Disbursement in the amount of such Lender’s Applicable Percentage of such LC Disbursement (without giving effect to the CAM Exchange), (ii) the Administrative Agent shall redetermine the CAM Percentages after giving effect to such LC Disbursement and the purchase of participations therein by the applicable Lenders, and the Lenders shall automatically and without further act be deemed to have made reciprocal purchases of interests in the Designated Obligations such that each Lender shall own an interest equal to such Lender’s CAM Percentage in each of the Designated Obligations and (iii) in the event distributions shall have been made in accordance with clause (b) above, the Lenders shall make such payments to one another in Dollars as shall be necessary in order that the amounts received by them shall be equal to the amounts they would have received had each LC Disbursement been outstanding immediately prior to the CAM Exchange. Each such redetermination shall be binding on each of the Lenders and their successors and assigns in respect of the Designated Obligations held by such Persons and shall be conclusive absent manifest error.</w:t>
      </w:r>
    </w:p>
    <w:p>
      <w:pPr>
        <w:spacing w:after="0" w:line="165"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284" w:val="left"/>
        </w:tabs>
        <w:numPr>
          <w:ilvl w:val="0"/>
          <w:numId w:val="1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in this Article shall prohibit the assignment by any Lender of interests in some but not all of the Designated Obligations held by it after giving effect to the CAM Exchange; provided, that in connection with any such assignment such Lender and its assignee shall enter into an agreement setting forth their reciprocal rights and obligations in the event of a redetermination of the CAM Percentages as provided in the immediately preceding paragraph.</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Signature Page Follows</w:t>
      </w:r>
      <w:r>
        <w:rPr>
          <w:rFonts w:ascii="Times New Roman" w:cs="Times New Roman" w:eastAsia="Times New Roman" w:hAnsi="Times New Roman"/>
          <w:sz w:val="25"/>
          <w:szCs w:val="25"/>
          <w:b w:val="1"/>
          <w:bCs w:val="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authorized officers as of the day and year first above written.</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CRICUT, INC.,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Kimball Shill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207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Kimball Shill</w:t>
      </w:r>
    </w:p>
    <w:p>
      <w:pPr>
        <w:spacing w:after="0" w:line="13"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BMO BANK N.A.,</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Karlee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1372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Karlee Page</w:t>
      </w:r>
    </w:p>
    <w:p>
      <w:pPr>
        <w:spacing w:after="0" w:line="13"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BANK OF MONTREAL,</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Lender, Swingline Lender and Issuing Bank</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Karlee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1372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Karlee Page</w:t>
      </w:r>
    </w:p>
    <w:p>
      <w:pPr>
        <w:spacing w:after="0" w:line="13"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2420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Darren Jensen</w:t>
      </w:r>
    </w:p>
    <w:p>
      <w:pPr>
        <w:spacing w:after="0" w:line="6"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VP,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KEYBANK, NATIONAL ASSOCIATION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Cricut, Inc.</w:t>
      </w:r>
    </w:p>
    <w:p>
      <w:pPr>
        <w:sectPr>
          <w:pgSz w:w="11900" w:h="16838" w:orient="portrait"/>
          <w:cols w:equalWidth="0" w:num="1">
            <w:col w:w="11240"/>
          </w:cols>
          <w:pgMar w:left="320" w:top="1440" w:right="339" w:bottom="1440" w:gutter="0" w:footer="0" w:header="0"/>
          <w:type w:val="continuous"/>
        </w:sectPr>
      </w:pPr>
    </w:p>
    <w:bookmarkStart w:id="136" w:name="page137"/>
    <w:bookmarkEnd w:id="136"/>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Mont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1379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Mont James</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Edward 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144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4270"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Edward Son</w:t>
      </w:r>
    </w:p>
    <w:p>
      <w:pPr>
        <w:spacing w:after="0" w:line="13" w:lineRule="exact"/>
        <w:rPr>
          <w:sz w:val="20"/>
          <w:szCs w:val="20"/>
          <w:color w:val="auto"/>
        </w:rPr>
      </w:pPr>
    </w:p>
    <w:p>
      <w:pPr>
        <w:ind w:left="2780"/>
        <w:spacing w:after="0"/>
        <w:tabs>
          <w:tab w:leader="none" w:pos="33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ZIONS BANCORPORATION, N.A.,</w:t>
      </w:r>
    </w:p>
    <w:p>
      <w:pPr>
        <w:spacing w:after="0" w:line="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DBA Zions First National Bank</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Phillip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151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Phillip Price</w:t>
      </w:r>
    </w:p>
    <w:p>
      <w:pPr>
        <w:spacing w:after="0" w:line="13"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Cricut, Inc.</w:t>
      </w:r>
    </w:p>
    <w:p>
      <w:pPr>
        <w:sectPr>
          <w:pgSz w:w="11900" w:h="16838" w:orient="portrait"/>
          <w:cols w:equalWidth="0" w:num="1">
            <w:col w:w="9019"/>
          </w:cols>
          <w:pgMar w:left="1440" w:top="1440" w:right="1440" w:bottom="1440" w:gutter="0" w:footer="0" w:header="0"/>
        </w:sectPr>
      </w:pPr>
    </w:p>
    <w:bookmarkStart w:id="137" w:name="page138"/>
    <w:bookmarkEnd w:id="137"/>
    <w:p>
      <w:pPr>
        <w:spacing w:after="0" w:line="1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u w:val="single" w:color="auto"/>
          <w:color w:val="auto"/>
        </w:rPr>
        <w:t>COMMITMENT SCHEDULE</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640" w:type="dxa"/>
            <w:vAlign w:val="bottom"/>
            <w:tcBorders>
              <w:top w:val="single" w:sz="8" w:color="auto"/>
              <w:left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2640" w:type="dxa"/>
            <w:vAlign w:val="bottom"/>
            <w:tcBorders>
              <w:top w:val="single" w:sz="8" w:color="auto"/>
              <w:right w:val="single" w:sz="8" w:color="auto"/>
            </w:tcBorders>
          </w:tcPr>
          <w:p>
            <w:pPr>
              <w:jc w:val="right"/>
              <w:ind w:right="941"/>
              <w:spacing w:after="0"/>
              <w:rPr>
                <w:sz w:val="20"/>
                <w:szCs w:val="20"/>
                <w:color w:val="auto"/>
              </w:rPr>
            </w:pPr>
            <w:r>
              <w:rPr>
                <w:rFonts w:ascii="Times New Roman" w:cs="Times New Roman" w:eastAsia="Times New Roman" w:hAnsi="Times New Roman"/>
                <w:sz w:val="20"/>
                <w:szCs w:val="20"/>
                <w:b w:val="1"/>
                <w:bCs w:val="1"/>
                <w:color w:val="auto"/>
              </w:rPr>
              <w:t>Global</w:t>
            </w:r>
          </w:p>
        </w:tc>
        <w:tc>
          <w:tcPr>
            <w:tcW w:w="2620" w:type="dxa"/>
            <w:vAlign w:val="bottom"/>
            <w:tcBorders>
              <w:top w:val="single" w:sz="8" w:color="auto"/>
              <w:right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b w:val="1"/>
                <w:bCs w:val="1"/>
                <w:color w:val="auto"/>
              </w:rPr>
              <w:t>Non-Global</w:t>
            </w:r>
          </w:p>
        </w:tc>
        <w:tc>
          <w:tcPr>
            <w:tcW w:w="26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Total Revolving Commitment</w:t>
            </w:r>
          </w:p>
        </w:tc>
      </w:tr>
      <w:tr>
        <w:trPr>
          <w:trHeight w:val="392"/>
        </w:trPr>
        <w:tc>
          <w:tcPr>
            <w:tcW w:w="2640" w:type="dxa"/>
            <w:vAlign w:val="bottom"/>
            <w:tcBorders>
              <w:left w:val="single" w:sz="8" w:color="auto"/>
              <w:right w:val="single" w:sz="8" w:color="auto"/>
            </w:tcBorders>
          </w:tcPr>
          <w:p>
            <w:pPr>
              <w:spacing w:after="0"/>
              <w:rPr>
                <w:sz w:val="24"/>
                <w:szCs w:val="24"/>
                <w:color w:val="auto"/>
              </w:rPr>
            </w:pPr>
          </w:p>
        </w:tc>
        <w:tc>
          <w:tcPr>
            <w:tcW w:w="2640" w:type="dxa"/>
            <w:vAlign w:val="bottom"/>
            <w:tcBorders>
              <w:right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Revolving Commitment</w:t>
            </w:r>
          </w:p>
        </w:tc>
        <w:tc>
          <w:tcPr>
            <w:tcW w:w="2620" w:type="dxa"/>
            <w:vAlign w:val="bottom"/>
            <w:tcBorders>
              <w:right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Revolving Commitment</w:t>
            </w:r>
          </w:p>
        </w:tc>
        <w:tc>
          <w:tcPr>
            <w:tcW w:w="2640" w:type="dxa"/>
            <w:vAlign w:val="bottom"/>
            <w:tcBorders>
              <w:right w:val="single" w:sz="8" w:color="auto"/>
            </w:tcBorders>
          </w:tcPr>
          <w:p>
            <w:pPr>
              <w:spacing w:after="0"/>
              <w:rPr>
                <w:sz w:val="24"/>
                <w:szCs w:val="24"/>
                <w:color w:val="auto"/>
              </w:rPr>
            </w:pPr>
          </w:p>
        </w:tc>
      </w:tr>
      <w:tr>
        <w:trPr>
          <w:trHeight w:val="223"/>
        </w:trPr>
        <w:tc>
          <w:tcPr>
            <w:tcW w:w="2640" w:type="dxa"/>
            <w:vAlign w:val="bottom"/>
            <w:tcBorders>
              <w:left w:val="single" w:sz="8" w:color="auto"/>
              <w:bottom w:val="single" w:sz="8" w:color="auto"/>
              <w:right w:val="single" w:sz="8" w:color="auto"/>
            </w:tcBorders>
          </w:tcPr>
          <w:p>
            <w:pPr>
              <w:spacing w:after="0"/>
              <w:rPr>
                <w:sz w:val="19"/>
                <w:szCs w:val="19"/>
                <w:color w:val="auto"/>
              </w:rPr>
            </w:pPr>
          </w:p>
        </w:tc>
        <w:tc>
          <w:tcPr>
            <w:tcW w:w="264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40" w:type="dxa"/>
            <w:vAlign w:val="bottom"/>
            <w:tcBorders>
              <w:bottom w:val="single" w:sz="8" w:color="auto"/>
              <w:right w:val="single" w:sz="8" w:color="auto"/>
            </w:tcBorders>
          </w:tcPr>
          <w:p>
            <w:pPr>
              <w:spacing w:after="0"/>
              <w:rPr>
                <w:sz w:val="19"/>
                <w:szCs w:val="19"/>
                <w:color w:val="auto"/>
              </w:rPr>
            </w:pPr>
          </w:p>
        </w:tc>
      </w:tr>
      <w:tr>
        <w:trPr>
          <w:trHeight w:val="252"/>
        </w:trPr>
        <w:tc>
          <w:tcPr>
            <w:tcW w:w="2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Bank of Montreal</w:t>
            </w:r>
          </w:p>
        </w:tc>
        <w:tc>
          <w:tcPr>
            <w:tcW w:w="2640" w:type="dxa"/>
            <w:vAlign w:val="bottom"/>
            <w:tcBorders>
              <w:right w:val="single" w:sz="8" w:color="auto"/>
            </w:tcBorders>
          </w:tcPr>
          <w:p>
            <w:pPr>
              <w:jc w:val="right"/>
              <w:ind w:right="1281"/>
              <w:spacing w:after="0"/>
              <w:rPr>
                <w:sz w:val="20"/>
                <w:szCs w:val="20"/>
                <w:color w:val="auto"/>
              </w:rPr>
            </w:pPr>
            <w:r>
              <w:rPr>
                <w:rFonts w:ascii="Times New Roman" w:cs="Times New Roman" w:eastAsia="Times New Roman" w:hAnsi="Times New Roman"/>
                <w:sz w:val="20"/>
                <w:szCs w:val="20"/>
                <w:color w:val="auto"/>
                <w:w w:val="99"/>
              </w:rPr>
              <w:t>$92,000,000.00</w:t>
            </w:r>
          </w:p>
        </w:tc>
        <w:tc>
          <w:tcPr>
            <w:tcW w:w="2620" w:type="dxa"/>
            <w:vAlign w:val="bottom"/>
            <w:tcBorders>
              <w:right w:val="single" w:sz="8" w:color="auto"/>
            </w:tcBorders>
          </w:tcPr>
          <w:p>
            <w:pPr>
              <w:jc w:val="right"/>
              <w:ind w:right="2061"/>
              <w:spacing w:after="0"/>
              <w:rPr>
                <w:sz w:val="20"/>
                <w:szCs w:val="20"/>
                <w:color w:val="auto"/>
              </w:rPr>
            </w:pPr>
            <w:r>
              <w:rPr>
                <w:rFonts w:ascii="Times New Roman" w:cs="Times New Roman" w:eastAsia="Times New Roman" w:hAnsi="Times New Roman"/>
                <w:sz w:val="20"/>
                <w:szCs w:val="20"/>
                <w:color w:val="auto"/>
                <w:w w:val="97"/>
              </w:rPr>
              <w:t>$0.00</w:t>
            </w:r>
          </w:p>
        </w:tc>
        <w:tc>
          <w:tcPr>
            <w:tcW w:w="2640" w:type="dxa"/>
            <w:vAlign w:val="bottom"/>
            <w:tcBorders>
              <w:right w:val="single" w:sz="8" w:color="auto"/>
            </w:tcBorders>
          </w:tcPr>
          <w:p>
            <w:pPr>
              <w:jc w:val="right"/>
              <w:ind w:right="1281"/>
              <w:spacing w:after="0"/>
              <w:rPr>
                <w:sz w:val="20"/>
                <w:szCs w:val="20"/>
                <w:color w:val="auto"/>
              </w:rPr>
            </w:pPr>
            <w:r>
              <w:rPr>
                <w:rFonts w:ascii="Times New Roman" w:cs="Times New Roman" w:eastAsia="Times New Roman" w:hAnsi="Times New Roman"/>
                <w:sz w:val="20"/>
                <w:szCs w:val="20"/>
                <w:color w:val="auto"/>
                <w:w w:val="99"/>
              </w:rPr>
              <w:t>$92,000,000.00</w:t>
            </w:r>
          </w:p>
        </w:tc>
      </w:tr>
      <w:tr>
        <w:trPr>
          <w:trHeight w:val="214"/>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r>
      <w:tr>
        <w:trPr>
          <w:trHeight w:val="183"/>
        </w:trPr>
        <w:tc>
          <w:tcPr>
            <w:tcW w:w="264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PNC Bank, National</w:t>
            </w:r>
          </w:p>
        </w:tc>
        <w:tc>
          <w:tcPr>
            <w:tcW w:w="2640" w:type="dxa"/>
            <w:vAlign w:val="bottom"/>
            <w:tcBorders>
              <w:right w:val="single" w:sz="8" w:color="auto"/>
            </w:tcBorders>
          </w:tcPr>
          <w:p>
            <w:pPr>
              <w:jc w:val="right"/>
              <w:ind w:right="1281"/>
              <w:spacing w:after="0" w:line="183" w:lineRule="exact"/>
              <w:rPr>
                <w:sz w:val="20"/>
                <w:szCs w:val="20"/>
                <w:color w:val="auto"/>
              </w:rPr>
            </w:pPr>
            <w:r>
              <w:rPr>
                <w:rFonts w:ascii="Times New Roman" w:cs="Times New Roman" w:eastAsia="Times New Roman" w:hAnsi="Times New Roman"/>
                <w:sz w:val="20"/>
                <w:szCs w:val="20"/>
                <w:color w:val="auto"/>
                <w:w w:val="99"/>
              </w:rPr>
              <w:t>$74,000,000.00</w:t>
            </w:r>
          </w:p>
        </w:tc>
        <w:tc>
          <w:tcPr>
            <w:tcW w:w="2620" w:type="dxa"/>
            <w:vAlign w:val="bottom"/>
            <w:tcBorders>
              <w:right w:val="single" w:sz="8" w:color="auto"/>
            </w:tcBorders>
          </w:tcPr>
          <w:p>
            <w:pPr>
              <w:jc w:val="right"/>
              <w:ind w:right="2061"/>
              <w:spacing w:after="0" w:line="183" w:lineRule="exact"/>
              <w:rPr>
                <w:sz w:val="20"/>
                <w:szCs w:val="20"/>
                <w:color w:val="auto"/>
              </w:rPr>
            </w:pPr>
            <w:r>
              <w:rPr>
                <w:rFonts w:ascii="Times New Roman" w:cs="Times New Roman" w:eastAsia="Times New Roman" w:hAnsi="Times New Roman"/>
                <w:sz w:val="20"/>
                <w:szCs w:val="20"/>
                <w:color w:val="auto"/>
                <w:w w:val="97"/>
              </w:rPr>
              <w:t>$0.00</w:t>
            </w:r>
          </w:p>
        </w:tc>
        <w:tc>
          <w:tcPr>
            <w:tcW w:w="2640" w:type="dxa"/>
            <w:vAlign w:val="bottom"/>
            <w:tcBorders>
              <w:right w:val="single" w:sz="8" w:color="auto"/>
            </w:tcBorders>
          </w:tcPr>
          <w:p>
            <w:pPr>
              <w:jc w:val="right"/>
              <w:ind w:right="1281"/>
              <w:spacing w:after="0" w:line="183" w:lineRule="exact"/>
              <w:rPr>
                <w:sz w:val="20"/>
                <w:szCs w:val="20"/>
                <w:color w:val="auto"/>
              </w:rPr>
            </w:pPr>
            <w:r>
              <w:rPr>
                <w:rFonts w:ascii="Times New Roman" w:cs="Times New Roman" w:eastAsia="Times New Roman" w:hAnsi="Times New Roman"/>
                <w:sz w:val="20"/>
                <w:szCs w:val="20"/>
                <w:color w:val="auto"/>
                <w:w w:val="99"/>
              </w:rPr>
              <w:t>$74,000,000.00</w:t>
            </w:r>
          </w:p>
        </w:tc>
      </w:tr>
      <w:tr>
        <w:trPr>
          <w:trHeight w:val="258"/>
        </w:trPr>
        <w:tc>
          <w:tcPr>
            <w:tcW w:w="2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Association</w:t>
            </w:r>
          </w:p>
        </w:tc>
        <w:tc>
          <w:tcPr>
            <w:tcW w:w="264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2640" w:type="dxa"/>
            <w:vAlign w:val="bottom"/>
            <w:tcBorders>
              <w:right w:val="single" w:sz="8" w:color="auto"/>
            </w:tcBorders>
          </w:tcPr>
          <w:p>
            <w:pPr>
              <w:spacing w:after="0"/>
              <w:rPr>
                <w:sz w:val="22"/>
                <w:szCs w:val="22"/>
                <w:color w:val="auto"/>
              </w:rPr>
            </w:pPr>
          </w:p>
        </w:tc>
      </w:tr>
      <w:tr>
        <w:trPr>
          <w:trHeight w:val="214"/>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r>
      <w:tr>
        <w:trPr>
          <w:trHeight w:val="252"/>
        </w:trPr>
        <w:tc>
          <w:tcPr>
            <w:tcW w:w="2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w w:val="99"/>
              </w:rPr>
              <w:t>KeyBank, National Association</w:t>
            </w:r>
          </w:p>
        </w:tc>
        <w:tc>
          <w:tcPr>
            <w:tcW w:w="2640" w:type="dxa"/>
            <w:vAlign w:val="bottom"/>
            <w:tcBorders>
              <w:right w:val="single" w:sz="8" w:color="auto"/>
            </w:tcBorders>
          </w:tcPr>
          <w:p>
            <w:pPr>
              <w:jc w:val="right"/>
              <w:ind w:right="1281"/>
              <w:spacing w:after="0"/>
              <w:rPr>
                <w:sz w:val="20"/>
                <w:szCs w:val="20"/>
                <w:color w:val="auto"/>
              </w:rPr>
            </w:pPr>
            <w:r>
              <w:rPr>
                <w:rFonts w:ascii="Times New Roman" w:cs="Times New Roman" w:eastAsia="Times New Roman" w:hAnsi="Times New Roman"/>
                <w:sz w:val="20"/>
                <w:szCs w:val="20"/>
                <w:color w:val="auto"/>
                <w:w w:val="99"/>
              </w:rPr>
              <w:t>$74,000,000.00</w:t>
            </w:r>
          </w:p>
        </w:tc>
        <w:tc>
          <w:tcPr>
            <w:tcW w:w="2620" w:type="dxa"/>
            <w:vAlign w:val="bottom"/>
            <w:tcBorders>
              <w:right w:val="single" w:sz="8" w:color="auto"/>
            </w:tcBorders>
          </w:tcPr>
          <w:p>
            <w:pPr>
              <w:jc w:val="right"/>
              <w:ind w:right="2061"/>
              <w:spacing w:after="0"/>
              <w:rPr>
                <w:sz w:val="20"/>
                <w:szCs w:val="20"/>
                <w:color w:val="auto"/>
              </w:rPr>
            </w:pPr>
            <w:r>
              <w:rPr>
                <w:rFonts w:ascii="Times New Roman" w:cs="Times New Roman" w:eastAsia="Times New Roman" w:hAnsi="Times New Roman"/>
                <w:sz w:val="20"/>
                <w:szCs w:val="20"/>
                <w:color w:val="auto"/>
                <w:w w:val="97"/>
              </w:rPr>
              <w:t>$0.00</w:t>
            </w:r>
          </w:p>
        </w:tc>
        <w:tc>
          <w:tcPr>
            <w:tcW w:w="2640" w:type="dxa"/>
            <w:vAlign w:val="bottom"/>
            <w:tcBorders>
              <w:right w:val="single" w:sz="8" w:color="auto"/>
            </w:tcBorders>
          </w:tcPr>
          <w:p>
            <w:pPr>
              <w:jc w:val="right"/>
              <w:ind w:right="1281"/>
              <w:spacing w:after="0"/>
              <w:rPr>
                <w:sz w:val="20"/>
                <w:szCs w:val="20"/>
                <w:color w:val="auto"/>
              </w:rPr>
            </w:pPr>
            <w:r>
              <w:rPr>
                <w:rFonts w:ascii="Times New Roman" w:cs="Times New Roman" w:eastAsia="Times New Roman" w:hAnsi="Times New Roman"/>
                <w:sz w:val="20"/>
                <w:szCs w:val="20"/>
                <w:color w:val="auto"/>
                <w:w w:val="99"/>
              </w:rPr>
              <w:t>$74,000,000.00</w:t>
            </w:r>
          </w:p>
        </w:tc>
      </w:tr>
      <w:tr>
        <w:trPr>
          <w:trHeight w:val="214"/>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r>
      <w:tr>
        <w:trPr>
          <w:trHeight w:val="252"/>
        </w:trPr>
        <w:tc>
          <w:tcPr>
            <w:tcW w:w="2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Citibank, N.A.</w:t>
            </w:r>
          </w:p>
        </w:tc>
        <w:tc>
          <w:tcPr>
            <w:tcW w:w="2640" w:type="dxa"/>
            <w:vAlign w:val="bottom"/>
            <w:tcBorders>
              <w:right w:val="single" w:sz="8" w:color="auto"/>
            </w:tcBorders>
          </w:tcPr>
          <w:p>
            <w:pPr>
              <w:jc w:val="right"/>
              <w:ind w:right="1281"/>
              <w:spacing w:after="0"/>
              <w:rPr>
                <w:sz w:val="20"/>
                <w:szCs w:val="20"/>
                <w:color w:val="auto"/>
              </w:rPr>
            </w:pPr>
            <w:r>
              <w:rPr>
                <w:rFonts w:ascii="Times New Roman" w:cs="Times New Roman" w:eastAsia="Times New Roman" w:hAnsi="Times New Roman"/>
                <w:sz w:val="20"/>
                <w:szCs w:val="20"/>
                <w:color w:val="auto"/>
                <w:w w:val="99"/>
              </w:rPr>
              <w:t>$30,000,000.00</w:t>
            </w:r>
          </w:p>
        </w:tc>
        <w:tc>
          <w:tcPr>
            <w:tcW w:w="2620" w:type="dxa"/>
            <w:vAlign w:val="bottom"/>
            <w:tcBorders>
              <w:right w:val="single" w:sz="8" w:color="auto"/>
            </w:tcBorders>
          </w:tcPr>
          <w:p>
            <w:pPr>
              <w:jc w:val="right"/>
              <w:ind w:right="2061"/>
              <w:spacing w:after="0"/>
              <w:rPr>
                <w:sz w:val="20"/>
                <w:szCs w:val="20"/>
                <w:color w:val="auto"/>
              </w:rPr>
            </w:pPr>
            <w:r>
              <w:rPr>
                <w:rFonts w:ascii="Times New Roman" w:cs="Times New Roman" w:eastAsia="Times New Roman" w:hAnsi="Times New Roman"/>
                <w:sz w:val="20"/>
                <w:szCs w:val="20"/>
                <w:color w:val="auto"/>
                <w:w w:val="97"/>
              </w:rPr>
              <w:t>$0.00</w:t>
            </w:r>
          </w:p>
        </w:tc>
        <w:tc>
          <w:tcPr>
            <w:tcW w:w="2640" w:type="dxa"/>
            <w:vAlign w:val="bottom"/>
            <w:tcBorders>
              <w:right w:val="single" w:sz="8" w:color="auto"/>
            </w:tcBorders>
          </w:tcPr>
          <w:p>
            <w:pPr>
              <w:jc w:val="right"/>
              <w:ind w:right="1281"/>
              <w:spacing w:after="0"/>
              <w:rPr>
                <w:sz w:val="20"/>
                <w:szCs w:val="20"/>
                <w:color w:val="auto"/>
              </w:rPr>
            </w:pPr>
            <w:r>
              <w:rPr>
                <w:rFonts w:ascii="Times New Roman" w:cs="Times New Roman" w:eastAsia="Times New Roman" w:hAnsi="Times New Roman"/>
                <w:sz w:val="20"/>
                <w:szCs w:val="20"/>
                <w:color w:val="auto"/>
                <w:w w:val="99"/>
              </w:rPr>
              <w:t>$30,000,000.00</w:t>
            </w:r>
          </w:p>
        </w:tc>
      </w:tr>
      <w:tr>
        <w:trPr>
          <w:trHeight w:val="214"/>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r>
      <w:tr>
        <w:trPr>
          <w:trHeight w:val="183"/>
        </w:trPr>
        <w:tc>
          <w:tcPr>
            <w:tcW w:w="264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Zions Bancorporation, N.A.,</w:t>
            </w:r>
          </w:p>
        </w:tc>
        <w:tc>
          <w:tcPr>
            <w:tcW w:w="2640" w:type="dxa"/>
            <w:vAlign w:val="bottom"/>
            <w:tcBorders>
              <w:right w:val="single" w:sz="8" w:color="auto"/>
            </w:tcBorders>
          </w:tcPr>
          <w:p>
            <w:pPr>
              <w:jc w:val="right"/>
              <w:ind w:right="1281"/>
              <w:spacing w:after="0" w:line="183" w:lineRule="exact"/>
              <w:rPr>
                <w:sz w:val="20"/>
                <w:szCs w:val="20"/>
                <w:color w:val="auto"/>
              </w:rPr>
            </w:pPr>
            <w:r>
              <w:rPr>
                <w:rFonts w:ascii="Times New Roman" w:cs="Times New Roman" w:eastAsia="Times New Roman" w:hAnsi="Times New Roman"/>
                <w:sz w:val="20"/>
                <w:szCs w:val="20"/>
                <w:color w:val="auto"/>
                <w:w w:val="99"/>
              </w:rPr>
              <w:t>$30,000,000.00</w:t>
            </w:r>
          </w:p>
        </w:tc>
        <w:tc>
          <w:tcPr>
            <w:tcW w:w="2620" w:type="dxa"/>
            <w:vAlign w:val="bottom"/>
            <w:tcBorders>
              <w:right w:val="single" w:sz="8" w:color="auto"/>
            </w:tcBorders>
          </w:tcPr>
          <w:p>
            <w:pPr>
              <w:jc w:val="right"/>
              <w:ind w:right="2061"/>
              <w:spacing w:after="0" w:line="183" w:lineRule="exact"/>
              <w:rPr>
                <w:sz w:val="20"/>
                <w:szCs w:val="20"/>
                <w:color w:val="auto"/>
              </w:rPr>
            </w:pPr>
            <w:r>
              <w:rPr>
                <w:rFonts w:ascii="Times New Roman" w:cs="Times New Roman" w:eastAsia="Times New Roman" w:hAnsi="Times New Roman"/>
                <w:sz w:val="20"/>
                <w:szCs w:val="20"/>
                <w:color w:val="auto"/>
                <w:w w:val="97"/>
              </w:rPr>
              <w:t>$0.00</w:t>
            </w:r>
          </w:p>
        </w:tc>
        <w:tc>
          <w:tcPr>
            <w:tcW w:w="2640" w:type="dxa"/>
            <w:vAlign w:val="bottom"/>
            <w:tcBorders>
              <w:right w:val="single" w:sz="8" w:color="auto"/>
            </w:tcBorders>
          </w:tcPr>
          <w:p>
            <w:pPr>
              <w:jc w:val="right"/>
              <w:ind w:right="1281"/>
              <w:spacing w:after="0" w:line="183" w:lineRule="exact"/>
              <w:rPr>
                <w:sz w:val="20"/>
                <w:szCs w:val="20"/>
                <w:color w:val="auto"/>
              </w:rPr>
            </w:pPr>
            <w:r>
              <w:rPr>
                <w:rFonts w:ascii="Times New Roman" w:cs="Times New Roman" w:eastAsia="Times New Roman" w:hAnsi="Times New Roman"/>
                <w:sz w:val="20"/>
                <w:szCs w:val="20"/>
                <w:color w:val="auto"/>
                <w:w w:val="99"/>
              </w:rPr>
              <w:t>$30,000,000.00</w:t>
            </w:r>
          </w:p>
        </w:tc>
      </w:tr>
      <w:tr>
        <w:trPr>
          <w:trHeight w:val="258"/>
        </w:trPr>
        <w:tc>
          <w:tcPr>
            <w:tcW w:w="2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dba Zions First National Bank</w:t>
            </w:r>
          </w:p>
        </w:tc>
        <w:tc>
          <w:tcPr>
            <w:tcW w:w="264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2640" w:type="dxa"/>
            <w:vAlign w:val="bottom"/>
            <w:tcBorders>
              <w:right w:val="single" w:sz="8" w:color="auto"/>
            </w:tcBorders>
          </w:tcPr>
          <w:p>
            <w:pPr>
              <w:spacing w:after="0"/>
              <w:rPr>
                <w:sz w:val="22"/>
                <w:szCs w:val="22"/>
                <w:color w:val="auto"/>
              </w:rPr>
            </w:pPr>
          </w:p>
        </w:tc>
      </w:tr>
      <w:tr>
        <w:trPr>
          <w:trHeight w:val="214"/>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r>
      <w:tr>
        <w:trPr>
          <w:trHeight w:val="256"/>
        </w:trPr>
        <w:tc>
          <w:tcPr>
            <w:tcW w:w="2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640" w:type="dxa"/>
            <w:vAlign w:val="bottom"/>
            <w:tcBorders>
              <w:right w:val="single" w:sz="8" w:color="auto"/>
            </w:tcBorders>
          </w:tcPr>
          <w:p>
            <w:pPr>
              <w:jc w:val="right"/>
              <w:ind w:right="1141"/>
              <w:spacing w:after="0"/>
              <w:rPr>
                <w:sz w:val="20"/>
                <w:szCs w:val="20"/>
                <w:color w:val="auto"/>
              </w:rPr>
            </w:pPr>
            <w:r>
              <w:rPr>
                <w:rFonts w:ascii="Times New Roman" w:cs="Times New Roman" w:eastAsia="Times New Roman" w:hAnsi="Times New Roman"/>
                <w:sz w:val="20"/>
                <w:szCs w:val="20"/>
                <w:b w:val="1"/>
                <w:bCs w:val="1"/>
                <w:color w:val="auto"/>
              </w:rPr>
              <w:t>$300,000,000.00</w:t>
            </w:r>
          </w:p>
        </w:tc>
        <w:tc>
          <w:tcPr>
            <w:tcW w:w="2620" w:type="dxa"/>
            <w:vAlign w:val="bottom"/>
            <w:tcBorders>
              <w:right w:val="single" w:sz="8" w:color="auto"/>
            </w:tcBorders>
          </w:tcPr>
          <w:p>
            <w:pPr>
              <w:jc w:val="right"/>
              <w:ind w:right="2021"/>
              <w:spacing w:after="0"/>
              <w:rPr>
                <w:sz w:val="20"/>
                <w:szCs w:val="20"/>
                <w:color w:val="auto"/>
              </w:rPr>
            </w:pPr>
            <w:r>
              <w:rPr>
                <w:rFonts w:ascii="Times New Roman" w:cs="Times New Roman" w:eastAsia="Times New Roman" w:hAnsi="Times New Roman"/>
                <w:sz w:val="20"/>
                <w:szCs w:val="20"/>
                <w:b w:val="1"/>
                <w:bCs w:val="1"/>
                <w:color w:val="auto"/>
              </w:rPr>
              <w:t>$0.00</w:t>
            </w:r>
          </w:p>
        </w:tc>
        <w:tc>
          <w:tcPr>
            <w:tcW w:w="2640" w:type="dxa"/>
            <w:vAlign w:val="bottom"/>
            <w:tcBorders>
              <w:right w:val="single" w:sz="8" w:color="auto"/>
            </w:tcBorders>
          </w:tcPr>
          <w:p>
            <w:pPr>
              <w:jc w:val="right"/>
              <w:ind w:right="1141"/>
              <w:spacing w:after="0"/>
              <w:rPr>
                <w:sz w:val="20"/>
                <w:szCs w:val="20"/>
                <w:color w:val="auto"/>
              </w:rPr>
            </w:pPr>
            <w:r>
              <w:rPr>
                <w:rFonts w:ascii="Times New Roman" w:cs="Times New Roman" w:eastAsia="Times New Roman" w:hAnsi="Times New Roman"/>
                <w:sz w:val="20"/>
                <w:szCs w:val="20"/>
                <w:b w:val="1"/>
                <w:bCs w:val="1"/>
                <w:color w:val="auto"/>
              </w:rPr>
              <w:t>$300,000,000.00</w:t>
            </w:r>
          </w:p>
        </w:tc>
      </w:tr>
      <w:tr>
        <w:trPr>
          <w:trHeight w:val="210"/>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Commitment Schedule</w:t>
      </w:r>
    </w:p>
    <w:p>
      <w:pPr>
        <w:sectPr>
          <w:pgSz w:w="11900" w:h="16838" w:orient="portrait"/>
          <w:cols w:equalWidth="0" w:num="1">
            <w:col w:w="10540"/>
          </w:cols>
          <w:pgMar w:left="540" w:top="1440" w:right="819" w:bottom="1440" w:gutter="0" w:footer="0" w:header="0"/>
        </w:sectPr>
      </w:pPr>
    </w:p>
    <w:bookmarkStart w:id="138" w:name="page139"/>
    <w:bookmarkEnd w:id="138"/>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ASSIGNMENT AND ASSUMPTION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Assignment and Assumption (this “</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is dated as of the Effective Date set forth below and is</w:t>
      </w:r>
    </w:p>
    <w:p>
      <w:pPr>
        <w:spacing w:after="0" w:line="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entered into by and between </w:t>
      </w:r>
      <w:r>
        <w:rPr>
          <w:rFonts w:ascii="Times New Roman" w:cs="Times New Roman" w:eastAsia="Times New Roman" w:hAnsi="Times New Roman"/>
          <w:sz w:val="24"/>
          <w:szCs w:val="24"/>
          <w:b w:val="1"/>
          <w:bCs w:val="1"/>
          <w:u w:val="single" w:color="auto"/>
          <w:color w:val="auto"/>
        </w:rPr>
        <w:t>[</w:t>
      </w:r>
      <w:r>
        <w:rPr>
          <w:rFonts w:ascii="Times New Roman" w:cs="Times New Roman" w:eastAsia="Times New Roman" w:hAnsi="Times New Roman"/>
          <w:sz w:val="19"/>
          <w:szCs w:val="19"/>
          <w:i w:val="1"/>
          <w:iCs w:val="1"/>
          <w:color w:val="auto"/>
        </w:rPr>
        <w:t>Insert name of Assignor</w:t>
      </w:r>
      <w:r>
        <w:rPr>
          <w:rFonts w:ascii="Times New Roman" w:cs="Times New Roman" w:eastAsia="Times New Roman" w:hAnsi="Times New Roman"/>
          <w:sz w:val="24"/>
          <w:szCs w:val="24"/>
          <w:b w:val="1"/>
          <w:bCs w:val="1"/>
          <w:u w:val="single" w:color="auto"/>
          <w:color w:val="auto"/>
        </w:rPr>
        <w: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Assignor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24"/>
          <w:szCs w:val="24"/>
          <w:b w:val="1"/>
          <w:bCs w:val="1"/>
          <w:u w:val="single" w:color="auto"/>
          <w:color w:val="auto"/>
        </w:rPr>
        <w:t>[</w:t>
      </w:r>
      <w:r>
        <w:rPr>
          <w:rFonts w:ascii="Times New Roman" w:cs="Times New Roman" w:eastAsia="Times New Roman" w:hAnsi="Times New Roman"/>
          <w:sz w:val="19"/>
          <w:szCs w:val="19"/>
          <w:i w:val="1"/>
          <w:iCs w:val="1"/>
          <w:color w:val="auto"/>
        </w:rPr>
        <w:t>Insert name of Assignee</w:t>
      </w:r>
      <w:r>
        <w:rPr>
          <w:rFonts w:ascii="Times New Roman" w:cs="Times New Roman" w:eastAsia="Times New Roman" w:hAnsi="Times New Roman"/>
          <w:sz w:val="24"/>
          <w:szCs w:val="24"/>
          <w:b w:val="1"/>
          <w:bCs w:val="1"/>
          <w:u w:val="single" w:color="auto"/>
          <w:color w:val="auto"/>
        </w:rPr>
        <w: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Assignee</w:t>
      </w:r>
      <w:r>
        <w:rPr>
          <w:rFonts w:ascii="Times New Roman" w:cs="Times New Roman" w:eastAsia="Times New Roman" w:hAnsi="Times New Roman"/>
          <w:sz w:val="19"/>
          <w:szCs w:val="19"/>
          <w:color w:val="auto"/>
        </w:rPr>
        <w:t>”). Capitalized 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receipt of a copy of which is hereby acknowledged by the Assignee. The Standard Terms and Conditions for Assignment and Assumption set forth in Annex 1 attached hereto (the “</w:t>
      </w:r>
      <w:r>
        <w:rPr>
          <w:rFonts w:ascii="Times New Roman" w:cs="Times New Roman" w:eastAsia="Times New Roman" w:hAnsi="Times New Roman"/>
          <w:sz w:val="19"/>
          <w:szCs w:val="19"/>
          <w:u w:val="single" w:color="auto"/>
          <w:color w:val="auto"/>
        </w:rPr>
        <w:t>Standard Terms and Conditions</w:t>
      </w:r>
      <w:r>
        <w:rPr>
          <w:rFonts w:ascii="Times New Roman" w:cs="Times New Roman" w:eastAsia="Times New Roman" w:hAnsi="Times New Roman"/>
          <w:sz w:val="19"/>
          <w:szCs w:val="19"/>
          <w:color w:val="auto"/>
        </w:rPr>
        <w:t>”) are hereby agreed to and incorporated herein by reference and made a part of this Assignment and Assumption as if set forth herein in full.</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facility identified below (including any letters of credit and guarantees and swingline loans included in such facility)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20"/>
          <w:szCs w:val="20"/>
          <w:u w:val="single" w:color="auto"/>
          <w:color w:val="auto"/>
        </w:rPr>
        <w:t>Assigned Interest</w:t>
      </w:r>
      <w:r>
        <w:rPr>
          <w:rFonts w:ascii="Times New Roman" w:cs="Times New Roman" w:eastAsia="Times New Roman" w:hAnsi="Times New Roman"/>
          <w:sz w:val="20"/>
          <w:szCs w:val="20"/>
          <w:color w:val="auto"/>
        </w:rPr>
        <w:t>”).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p>
      <w:pPr>
        <w:spacing w:after="0"/>
        <w:tabs>
          <w:tab w:leader="none" w:pos="320" w:val="left"/>
          <w:tab w:leader="none" w:pos="1480" w:val="left"/>
        </w:tabs>
        <w:rPr>
          <w:sz w:val="20"/>
          <w:szCs w:val="20"/>
          <w:color w:val="auto"/>
        </w:rPr>
      </w:pPr>
      <w:r>
        <w:rPr>
          <w:rFonts w:ascii="Times New Roman" w:cs="Times New Roman" w:eastAsia="Times New Roman" w:hAnsi="Times New Roman"/>
          <w:sz w:val="20"/>
          <w:szCs w:val="20"/>
          <w:color w:val="auto"/>
        </w:rPr>
        <w:t>1.</w:t>
        <w:tab/>
        <w:t>Assignor:</w:t>
      </w:r>
      <w:r>
        <w:rPr>
          <w:sz w:val="20"/>
          <w:szCs w:val="20"/>
          <w:color w:val="auto"/>
        </w:rPr>
        <w:tab/>
      </w:r>
      <w:r>
        <w:rPr>
          <w:rFonts w:ascii="Times New Roman" w:cs="Times New Roman" w:eastAsia="Times New Roman" w:hAnsi="Times New Roman"/>
          <w:sz w:val="19"/>
          <w:szCs w:val="19"/>
          <w:color w:val="auto"/>
        </w:rPr>
        <w:t>______________________________</w:t>
      </w:r>
    </w:p>
    <w:p>
      <w:pPr>
        <w:spacing w:after="0" w:line="229" w:lineRule="exact"/>
        <w:rPr>
          <w:sz w:val="20"/>
          <w:szCs w:val="20"/>
          <w:color w:val="auto"/>
        </w:rPr>
      </w:pPr>
    </w:p>
    <w:p>
      <w:pPr>
        <w:spacing w:after="0"/>
        <w:tabs>
          <w:tab w:leader="none" w:pos="320" w:val="left"/>
          <w:tab w:leader="none" w:pos="1300" w:val="left"/>
        </w:tabs>
        <w:rPr>
          <w:sz w:val="20"/>
          <w:szCs w:val="20"/>
          <w:color w:val="auto"/>
        </w:rPr>
      </w:pPr>
      <w:r>
        <w:rPr>
          <w:rFonts w:ascii="Times New Roman" w:cs="Times New Roman" w:eastAsia="Times New Roman" w:hAnsi="Times New Roman"/>
          <w:sz w:val="20"/>
          <w:szCs w:val="20"/>
          <w:color w:val="auto"/>
        </w:rPr>
        <w:t>2.</w:t>
        <w:tab/>
        <w:t>Assignee:</w:t>
      </w:r>
      <w:r>
        <w:rPr>
          <w:sz w:val="20"/>
          <w:szCs w:val="20"/>
          <w:color w:val="auto"/>
        </w:rPr>
        <w:tab/>
      </w:r>
      <w:r>
        <w:rPr>
          <w:rFonts w:ascii="Times New Roman" w:cs="Times New Roman" w:eastAsia="Times New Roman" w:hAnsi="Times New Roman"/>
          <w:sz w:val="19"/>
          <w:szCs w:val="19"/>
          <w:color w:val="auto"/>
        </w:rPr>
        <w:t>______________________________</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which is an Affiliate/Approved Fund of</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i w:val="1"/>
          <w:iCs w:val="1"/>
          <w:color w:val="auto"/>
        </w:rPr>
        <w:t>identify Lender</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5"/>
          <w:szCs w:val="25"/>
          <w:b w:val="1"/>
          <w:bCs w:val="1"/>
          <w:u w:val="single" w:color="auto"/>
          <w:color w:val="auto"/>
        </w:rPr>
        <w:t>]</w:t>
      </w:r>
    </w:p>
    <w:p>
      <w:pPr>
        <w:spacing w:after="0" w:line="211" w:lineRule="exact"/>
        <w:rPr>
          <w:sz w:val="20"/>
          <w:szCs w:val="20"/>
          <w:color w:val="auto"/>
        </w:rPr>
      </w:pPr>
    </w:p>
    <w:p>
      <w:pPr>
        <w:ind w:left="360" w:hanging="352"/>
        <w:spacing w:after="0"/>
        <w:tabs>
          <w:tab w:leader="none" w:pos="36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Cricut, Inc.</w:t>
      </w:r>
    </w:p>
    <w:p>
      <w:pPr>
        <w:spacing w:after="0" w:line="21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  BMO Bank N.A., as the administrative agent under the Credit Agreement</w:t>
      </w:r>
    </w:p>
    <w:p>
      <w:pPr>
        <w:spacing w:after="0" w:line="229" w:lineRule="exact"/>
        <w:rPr>
          <w:rFonts w:ascii="Times New Roman" w:cs="Times New Roman" w:eastAsia="Times New Roman" w:hAnsi="Times New Roman"/>
          <w:sz w:val="20"/>
          <w:szCs w:val="20"/>
          <w:color w:val="auto"/>
        </w:rPr>
      </w:pPr>
    </w:p>
    <w:p>
      <w:pPr>
        <w:ind w:left="2600" w:hanging="2592"/>
        <w:spacing w:after="0" w:line="283" w:lineRule="auto"/>
        <w:tabs>
          <w:tab w:leader="none" w:pos="402"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Agreement: The Credit Agreement dated as of October 22, 2026 among Cricut, Inc., the other Loan Parties party thereto, the Lenders party thereto and BMO Bank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459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8" w:lineRule="exact"/>
        <w:rPr>
          <w:sz w:val="20"/>
          <w:szCs w:val="20"/>
          <w:color w:val="auto"/>
        </w:rPr>
      </w:pPr>
    </w:p>
    <w:p>
      <w:pPr>
        <w:ind w:left="120" w:hanging="112"/>
        <w:spacing w:after="0"/>
        <w:tabs>
          <w:tab w:leader="none" w:pos="120" w:val="left"/>
        </w:tabs>
        <w:numPr>
          <w:ilvl w:val="0"/>
          <w:numId w:val="1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Select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8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19"/>
          <w:szCs w:val="19"/>
          <w:color w:val="auto"/>
        </w:rPr>
        <w:t>Assigned Interest:</w:t>
      </w:r>
    </w:p>
    <w:p>
      <w:pPr>
        <w:spacing w:after="0" w:line="259" w:lineRule="exact"/>
        <w:rPr>
          <w:sz w:val="20"/>
          <w:szCs w:val="20"/>
          <w:color w:val="auto"/>
        </w:rPr>
      </w:pPr>
    </w:p>
    <w:tbl>
      <w:tblPr>
        <w:tblLayout w:type="fixed"/>
        <w:tblInd w:w="850" w:type="dxa"/>
        <w:tblCellMar>
          <w:top w:w="0" w:type="dxa"/>
          <w:left w:w="0" w:type="dxa"/>
          <w:bottom w:w="0" w:type="dxa"/>
          <w:right w:w="0" w:type="dxa"/>
        </w:tblCellMar>
      </w:tblPr>
      <w:tr>
        <w:trPr>
          <w:trHeight w:val="247"/>
        </w:trPr>
        <w:tc>
          <w:tcPr>
            <w:tcW w:w="2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Aggregate Amount of Revolving</w:t>
            </w:r>
          </w:p>
        </w:tc>
        <w:tc>
          <w:tcPr>
            <w:tcW w:w="2780" w:type="dxa"/>
            <w:vAlign w:val="bottom"/>
            <w:tcBorders>
              <w:top w:val="single" w:sz="8" w:color="auto"/>
              <w:right w:val="single" w:sz="8" w:color="auto"/>
            </w:tcBorders>
            <w:vMerge w:val="restart"/>
          </w:tcPr>
          <w:p>
            <w:pPr>
              <w:jc w:val="right"/>
              <w:ind w:right="441"/>
              <w:spacing w:after="0"/>
              <w:rPr>
                <w:sz w:val="20"/>
                <w:szCs w:val="20"/>
                <w:color w:val="auto"/>
              </w:rPr>
            </w:pPr>
            <w:r>
              <w:rPr>
                <w:rFonts w:ascii="Times New Roman" w:cs="Times New Roman" w:eastAsia="Times New Roman" w:hAnsi="Times New Roman"/>
                <w:sz w:val="20"/>
                <w:szCs w:val="20"/>
                <w:color w:val="auto"/>
              </w:rPr>
              <w:t>Amount of Revolving</w:t>
            </w:r>
          </w:p>
        </w:tc>
        <w:tc>
          <w:tcPr>
            <w:tcW w:w="2780" w:type="dxa"/>
            <w:vAlign w:val="bottom"/>
            <w:tcBorders>
              <w:top w:val="single" w:sz="8" w:color="auto"/>
              <w:right w:val="single" w:sz="8" w:color="auto"/>
            </w:tcBorders>
            <w:vMerge w:val="restart"/>
          </w:tcPr>
          <w:p>
            <w:pPr>
              <w:jc w:val="right"/>
              <w:ind w:right="364"/>
              <w:spacing w:after="0"/>
              <w:rPr>
                <w:sz w:val="20"/>
                <w:szCs w:val="20"/>
                <w:color w:val="auto"/>
              </w:rPr>
            </w:pPr>
            <w:r>
              <w:rPr>
                <w:rFonts w:ascii="Times New Roman" w:cs="Times New Roman" w:eastAsia="Times New Roman" w:hAnsi="Times New Roman"/>
                <w:sz w:val="20"/>
                <w:szCs w:val="20"/>
                <w:color w:val="auto"/>
              </w:rPr>
              <w:t>Percentage Assigned of</w:t>
            </w:r>
          </w:p>
        </w:tc>
        <w:tc>
          <w:tcPr>
            <w:tcW w:w="0" w:type="dxa"/>
            <w:vAlign w:val="bottom"/>
          </w:tcPr>
          <w:p>
            <w:pPr>
              <w:spacing w:after="0"/>
              <w:rPr>
                <w:sz w:val="1"/>
                <w:szCs w:val="1"/>
                <w:color w:val="auto"/>
              </w:rPr>
            </w:pPr>
          </w:p>
        </w:tc>
      </w:tr>
      <w:tr>
        <w:trPr>
          <w:trHeight w:val="63"/>
        </w:trPr>
        <w:tc>
          <w:tcPr>
            <w:tcW w:w="2800" w:type="dxa"/>
            <w:vAlign w:val="bottom"/>
            <w:tcBorders>
              <w:left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20"/>
                <w:szCs w:val="20"/>
                <w:color w:val="auto"/>
              </w:rPr>
              <w:t>Commitment/Loans for all</w:t>
            </w:r>
          </w:p>
        </w:tc>
        <w:tc>
          <w:tcPr>
            <w:tcW w:w="2780" w:type="dxa"/>
            <w:vAlign w:val="bottom"/>
            <w:tcBorders>
              <w:right w:val="single" w:sz="8" w:color="auto"/>
            </w:tcBorders>
            <w:vMerge w:val="continue"/>
          </w:tcPr>
          <w:p>
            <w:pPr>
              <w:spacing w:after="0"/>
              <w:rPr>
                <w:sz w:val="5"/>
                <w:szCs w:val="5"/>
                <w:color w:val="auto"/>
              </w:rPr>
            </w:pPr>
          </w:p>
        </w:tc>
        <w:tc>
          <w:tcPr>
            <w:tcW w:w="27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vMerge w:val="continue"/>
          </w:tcPr>
          <w:p>
            <w:pPr>
              <w:spacing w:after="0"/>
              <w:rPr>
                <w:sz w:val="16"/>
                <w:szCs w:val="16"/>
                <w:color w:val="auto"/>
              </w:rPr>
            </w:pPr>
          </w:p>
        </w:tc>
        <w:tc>
          <w:tcPr>
            <w:tcW w:w="2780" w:type="dxa"/>
            <w:vAlign w:val="bottom"/>
            <w:tcBorders>
              <w:right w:val="single" w:sz="8" w:color="auto"/>
            </w:tcBorders>
          </w:tcPr>
          <w:p>
            <w:pPr>
              <w:jc w:val="right"/>
              <w:ind w:right="121"/>
              <w:spacing w:after="0" w:line="189" w:lineRule="exact"/>
              <w:rPr>
                <w:sz w:val="20"/>
                <w:szCs w:val="20"/>
                <w:color w:val="auto"/>
              </w:rPr>
            </w:pPr>
            <w:r>
              <w:rPr>
                <w:rFonts w:ascii="Times New Roman" w:cs="Times New Roman" w:eastAsia="Times New Roman" w:hAnsi="Times New Roman"/>
                <w:sz w:val="20"/>
                <w:szCs w:val="20"/>
                <w:color w:val="auto"/>
              </w:rPr>
              <w:t>Commitment/Loans Assigned</w:t>
            </w:r>
          </w:p>
        </w:tc>
        <w:tc>
          <w:tcPr>
            <w:tcW w:w="2780" w:type="dxa"/>
            <w:vAlign w:val="bottom"/>
            <w:tcBorders>
              <w:right w:val="single" w:sz="8" w:color="auto"/>
            </w:tcBorders>
          </w:tcPr>
          <w:p>
            <w:pPr>
              <w:jc w:val="right"/>
              <w:ind w:right="44"/>
              <w:spacing w:after="0" w:line="189" w:lineRule="exact"/>
              <w:rPr>
                <w:sz w:val="20"/>
                <w:szCs w:val="20"/>
                <w:color w:val="auto"/>
              </w:rPr>
            </w:pPr>
            <w:r>
              <w:rPr>
                <w:rFonts w:ascii="Times New Roman" w:cs="Times New Roman" w:eastAsia="Times New Roman" w:hAnsi="Times New Roman"/>
                <w:sz w:val="17"/>
                <w:szCs w:val="17"/>
                <w:color w:val="auto"/>
              </w:rPr>
              <w:t>Revolving Commitment/Loans</w:t>
            </w:r>
            <w:r>
              <w:rPr>
                <w:rFonts w:ascii="Times New Roman" w:cs="Times New Roman" w:eastAsia="Times New Roman" w:hAnsi="Times New Roman"/>
                <w:sz w:val="21"/>
                <w:szCs w:val="21"/>
                <w:color w:val="auto"/>
                <w:vertAlign w:val="superscript"/>
              </w:rPr>
              <w:t>2</w:t>
            </w:r>
          </w:p>
        </w:tc>
        <w:tc>
          <w:tcPr>
            <w:tcW w:w="0" w:type="dxa"/>
            <w:vAlign w:val="bottom"/>
          </w:tcPr>
          <w:p>
            <w:pPr>
              <w:spacing w:after="0"/>
              <w:rPr>
                <w:sz w:val="1"/>
                <w:szCs w:val="1"/>
                <w:color w:val="auto"/>
              </w:rPr>
            </w:pPr>
          </w:p>
        </w:tc>
      </w:tr>
      <w:tr>
        <w:trPr>
          <w:trHeight w:val="258"/>
        </w:trPr>
        <w:tc>
          <w:tcPr>
            <w:tcW w:w="2800" w:type="dxa"/>
            <w:vAlign w:val="bottom"/>
            <w:tcBorders>
              <w:left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20"/>
                <w:szCs w:val="20"/>
                <w:color w:val="auto"/>
              </w:rPr>
              <w:t>Lenders</w:t>
            </w:r>
          </w:p>
        </w:tc>
        <w:tc>
          <w:tcPr>
            <w:tcW w:w="2780" w:type="dxa"/>
            <w:vAlign w:val="bottom"/>
            <w:tcBorders>
              <w:right w:val="single" w:sz="8" w:color="auto"/>
            </w:tcBorders>
          </w:tcPr>
          <w:p>
            <w:pPr>
              <w:spacing w:after="0"/>
              <w:rPr>
                <w:sz w:val="22"/>
                <w:szCs w:val="22"/>
                <w:color w:val="auto"/>
              </w:rPr>
            </w:pPr>
          </w:p>
        </w:tc>
        <w:tc>
          <w:tcPr>
            <w:tcW w:w="2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8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2780" w:type="dxa"/>
            <w:vAlign w:val="bottom"/>
            <w:tcBorders>
              <w:right w:val="single" w:sz="8" w:color="auto"/>
            </w:tcBorders>
          </w:tcPr>
          <w:p>
            <w:pPr>
              <w:jc w:val="right"/>
              <w:ind w:right="2521"/>
              <w:spacing w:after="0"/>
              <w:rPr>
                <w:sz w:val="20"/>
                <w:szCs w:val="20"/>
                <w:color w:val="auto"/>
              </w:rPr>
            </w:pPr>
            <w:r>
              <w:rPr>
                <w:rFonts w:ascii="Times New Roman" w:cs="Times New Roman" w:eastAsia="Times New Roman" w:hAnsi="Times New Roman"/>
                <w:sz w:val="20"/>
                <w:szCs w:val="20"/>
                <w:color w:val="auto"/>
              </w:rPr>
              <w:t>$</w:t>
            </w:r>
          </w:p>
        </w:tc>
        <w:tc>
          <w:tcPr>
            <w:tcW w:w="2780" w:type="dxa"/>
            <w:vAlign w:val="bottom"/>
            <w:tcBorders>
              <w:right w:val="single" w:sz="8" w:color="auto"/>
            </w:tcBorders>
          </w:tcPr>
          <w:p>
            <w:pPr>
              <w:jc w:val="right"/>
              <w:ind w:right="2264"/>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8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2780" w:type="dxa"/>
            <w:vAlign w:val="bottom"/>
            <w:tcBorders>
              <w:right w:val="single" w:sz="8" w:color="auto"/>
            </w:tcBorders>
          </w:tcPr>
          <w:p>
            <w:pPr>
              <w:jc w:val="right"/>
              <w:ind w:right="2521"/>
              <w:spacing w:after="0"/>
              <w:rPr>
                <w:sz w:val="20"/>
                <w:szCs w:val="20"/>
                <w:color w:val="auto"/>
              </w:rPr>
            </w:pPr>
            <w:r>
              <w:rPr>
                <w:rFonts w:ascii="Times New Roman" w:cs="Times New Roman" w:eastAsia="Times New Roman" w:hAnsi="Times New Roman"/>
                <w:sz w:val="20"/>
                <w:szCs w:val="20"/>
                <w:color w:val="auto"/>
              </w:rPr>
              <w:t>$</w:t>
            </w:r>
          </w:p>
        </w:tc>
        <w:tc>
          <w:tcPr>
            <w:tcW w:w="2780" w:type="dxa"/>
            <w:vAlign w:val="bottom"/>
            <w:tcBorders>
              <w:right w:val="single" w:sz="8" w:color="auto"/>
            </w:tcBorders>
          </w:tcPr>
          <w:p>
            <w:pPr>
              <w:jc w:val="right"/>
              <w:ind w:right="2264"/>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8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2780" w:type="dxa"/>
            <w:vAlign w:val="bottom"/>
            <w:tcBorders>
              <w:right w:val="single" w:sz="8" w:color="auto"/>
            </w:tcBorders>
          </w:tcPr>
          <w:p>
            <w:pPr>
              <w:jc w:val="right"/>
              <w:ind w:right="2521"/>
              <w:spacing w:after="0"/>
              <w:rPr>
                <w:sz w:val="20"/>
                <w:szCs w:val="20"/>
                <w:color w:val="auto"/>
              </w:rPr>
            </w:pPr>
            <w:r>
              <w:rPr>
                <w:rFonts w:ascii="Times New Roman" w:cs="Times New Roman" w:eastAsia="Times New Roman" w:hAnsi="Times New Roman"/>
                <w:sz w:val="20"/>
                <w:szCs w:val="20"/>
                <w:color w:val="auto"/>
              </w:rPr>
              <w:t>$</w:t>
            </w:r>
          </w:p>
        </w:tc>
        <w:tc>
          <w:tcPr>
            <w:tcW w:w="2780" w:type="dxa"/>
            <w:vAlign w:val="bottom"/>
            <w:tcBorders>
              <w:right w:val="single" w:sz="8" w:color="auto"/>
            </w:tcBorders>
          </w:tcPr>
          <w:p>
            <w:pPr>
              <w:jc w:val="right"/>
              <w:ind w:right="2264"/>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Effective Date: _____________ ___, 20___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0"/>
          <w:szCs w:val="20"/>
          <w:color w:val="auto"/>
        </w:rPr>
        <w:t>TO BE INSERTED BY ADMINISTRATIVE AGENT AND WHICH SHALL BE THE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DATE OF RECORDATION OF TRANSFER IN THE REGISTER THEREFOR.</w:t>
      </w:r>
      <w:r>
        <w:rPr>
          <w:rFonts w:ascii="Times New Roman" w:cs="Times New Roman" w:eastAsia="Times New Roman" w:hAnsi="Times New Roman"/>
          <w:sz w:val="25"/>
          <w:szCs w:val="25"/>
          <w:b w:val="1"/>
          <w:bCs w:val="1"/>
          <w:u w:val="single" w:color="auto"/>
          <w:color w:val="auto"/>
        </w:rPr>
        <w:t>]</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terms set forth in this Assignment and Assumption are hereby agreed to:</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ASSIGNOR</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NAME OF ASSIGNOR</w:t>
      </w:r>
      <w:r>
        <w:rPr>
          <w:rFonts w:ascii="Times New Roman" w:cs="Times New Roman" w:eastAsia="Times New Roman" w:hAnsi="Times New Roman"/>
          <w:sz w:val="25"/>
          <w:szCs w:val="25"/>
          <w:b w:val="1"/>
          <w:bCs w:val="1"/>
          <w:u w:val="single" w:color="auto"/>
          <w:color w:val="auto"/>
        </w:rPr>
        <w:t>]</w:t>
      </w: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Name:___________________________</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Title:____________________________</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ASSIGNEE</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NAME OF ASSIGNEE</w:t>
      </w:r>
      <w:r>
        <w:rPr>
          <w:rFonts w:ascii="Times New Roman" w:cs="Times New Roman" w:eastAsia="Times New Roman" w:hAnsi="Times New Roman"/>
          <w:sz w:val="25"/>
          <w:szCs w:val="25"/>
          <w:b w:val="1"/>
          <w:bCs w:val="1"/>
          <w:u w:val="single" w:color="auto"/>
          <w:color w:val="auto"/>
        </w:rPr>
        <w: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6459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63" w:lineRule="exact"/>
        <w:rPr>
          <w:sz w:val="20"/>
          <w:szCs w:val="20"/>
          <w:color w:val="auto"/>
        </w:rPr>
      </w:pPr>
    </w:p>
    <w:p>
      <w:pPr>
        <w:ind w:left="120" w:hanging="112"/>
        <w:spacing w:after="0"/>
        <w:tabs>
          <w:tab w:leader="none" w:pos="120" w:val="left"/>
        </w:tabs>
        <w:numPr>
          <w:ilvl w:val="0"/>
          <w:numId w:val="1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Set forth, to at least 9 decimals, as a percentage of the Revolving Commitment/Loans of all Lenders thereunder.</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61" w:lineRule="exact"/>
        <w:rPr>
          <w:rFonts w:ascii="Times New Roman" w:cs="Times New Roman" w:eastAsia="Times New Roman" w:hAnsi="Times New Roman"/>
          <w:sz w:val="23"/>
          <w:szCs w:val="23"/>
          <w:color w:val="auto"/>
          <w:vertAlign w:val="superscript"/>
        </w:rPr>
      </w:pPr>
    </w:p>
    <w:p>
      <w:pPr>
        <w:ind w:left="54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Consented to and</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19"/>
          <w:szCs w:val="19"/>
          <w:color w:val="auto"/>
        </w:rPr>
        <w:t>Accepted: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BMO BANK N.A.,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Title:_______________________________</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[Consented 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OF MONTREAL,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Issuing Bank and Swingline Lender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Title:_______________________________</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32"/>
          <w:szCs w:val="32"/>
          <w:b w:val="1"/>
          <w:bCs w:val="1"/>
          <w:u w:val="single" w:color="auto"/>
          <w:color w:val="auto"/>
          <w:vertAlign w:val="superscript"/>
        </w:rPr>
        <w:t>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Consented to:</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CRICUT,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Title:_______________________________</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5"/>
          <w:szCs w:val="25"/>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6459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63" w:lineRule="exact"/>
        <w:rPr>
          <w:sz w:val="20"/>
          <w:szCs w:val="20"/>
          <w:color w:val="auto"/>
        </w:rPr>
      </w:pPr>
    </w:p>
    <w:p>
      <w:pPr>
        <w:ind w:left="120" w:hanging="112"/>
        <w:spacing w:after="0"/>
        <w:tabs>
          <w:tab w:leader="none" w:pos="120" w:val="left"/>
        </w:tabs>
        <w:numPr>
          <w:ilvl w:val="0"/>
          <w:numId w:val="1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added only if the consent of the Administrative Agent is required by the terms of the Credit Agreement.</w:t>
      </w:r>
    </w:p>
    <w:p>
      <w:pPr>
        <w:ind w:left="120" w:hanging="112"/>
        <w:spacing w:after="0" w:line="214" w:lineRule="auto"/>
        <w:tabs>
          <w:tab w:leader="none" w:pos="120" w:val="left"/>
        </w:tabs>
        <w:numPr>
          <w:ilvl w:val="0"/>
          <w:numId w:val="17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 be added only if the consent of the Issuing Bank and/or Swingline Lender, as applicable, is required by the terms of the Credit Agreement.</w:t>
      </w:r>
    </w:p>
    <w:p>
      <w:pPr>
        <w:spacing w:after="0" w:line="1" w:lineRule="exact"/>
        <w:rPr>
          <w:rFonts w:ascii="Times New Roman" w:cs="Times New Roman" w:eastAsia="Times New Roman" w:hAnsi="Times New Roman"/>
          <w:sz w:val="22"/>
          <w:szCs w:val="22"/>
          <w:color w:val="auto"/>
          <w:vertAlign w:val="superscript"/>
        </w:rPr>
      </w:pP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To be added only if the consent of the Borrower is required by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300"/>
          </w:cols>
          <w:pgMar w:left="320" w:top="1440" w:right="1279" w:bottom="1440" w:gutter="0" w:footer="0" w:header="0"/>
        </w:sectPr>
      </w:pPr>
    </w:p>
    <w:bookmarkStart w:id="141" w:name="page142"/>
    <w:bookmarkEnd w:id="141"/>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ANNEX 1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ASSIGNMENT AND ASSUMPTION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STANDARD TERMS AND CONDITIONS FOR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ASSIGNMENT AND ASSUMPTION</w:t>
      </w:r>
    </w:p>
    <w:p>
      <w:pPr>
        <w:spacing w:after="0" w:line="187" w:lineRule="exact"/>
        <w:rPr>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010000"/>
        </w:rPr>
        <w:t>1.1</w:t>
      </w:r>
      <w:r>
        <w:rPr>
          <w:sz w:val="20"/>
          <w:szCs w:val="20"/>
          <w:color w:val="auto"/>
        </w:rPr>
        <w:tab/>
      </w:r>
      <w:r>
        <w:rPr>
          <w:rFonts w:ascii="Times New Roman" w:cs="Times New Roman" w:eastAsia="Times New Roman" w:hAnsi="Times New Roman"/>
          <w:sz w:val="20"/>
          <w:szCs w:val="20"/>
          <w:u w:val="single" w:color="auto"/>
          <w:color w:val="auto"/>
        </w:rPr>
        <w:t>Assignor</w:t>
      </w:r>
      <w:r>
        <w:rPr>
          <w:rFonts w:ascii="Times New Roman" w:cs="Times New Roman" w:eastAsia="Times New Roman" w:hAnsi="Times New Roman"/>
          <w:sz w:val="20"/>
          <w:szCs w:val="20"/>
          <w:color w:val="auto"/>
        </w:rPr>
        <w:t>. The Assignor (a) represents and warrants that (i) it is the legal and beneficial owner of the Assigned Interest, (ii)</w:t>
      </w:r>
    </w:p>
    <w:p>
      <w:pPr>
        <w:spacing w:after="0" w:line="215" w:lineRule="auto"/>
        <w:rPr>
          <w:sz w:val="20"/>
          <w:szCs w:val="20"/>
          <w:color w:val="auto"/>
        </w:rPr>
      </w:pPr>
      <w:r>
        <w:rPr>
          <w:rFonts w:ascii="Times New Roman" w:cs="Times New Roman" w:eastAsia="Times New Roman" w:hAnsi="Times New Roman"/>
          <w:sz w:val="19"/>
          <w:szCs w:val="19"/>
          <w:color w:val="auto"/>
        </w:rPr>
        <w:t>the Assigned Interest is free and clear of any lien, encumbrance or other adverse claim and (iii) it has full power and authority, and has taken all action necessary, to execute and deliver this Assignment and Assumption and to consummate the transactions contemplated hereby; and</w:t>
      </w:r>
    </w:p>
    <w:p>
      <w:pPr>
        <w:jc w:val="both"/>
        <w:ind w:firstLine="8"/>
        <w:spacing w:after="0" w:line="212" w:lineRule="auto"/>
        <w:tabs>
          <w:tab w:leader="none" w:pos="31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Subsidiary or Affiliate or any other Person obligated in respect of any Loan Document, (iv) any requirements under applicable law for the Assignee to become a lender under the Credit Agreement or any other Loan Document or to charge interest at the rate set forth therein from time to time or (v) the performance or observance by the Borrower, any Subsidiary or Affiliate, or any other Person of any of their respective obligations under any Loan Document.</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1.2 </w:t>
      </w:r>
      <w:r>
        <w:rPr>
          <w:rFonts w:ascii="Times New Roman" w:cs="Times New Roman" w:eastAsia="Times New Roman" w:hAnsi="Times New Roman"/>
          <w:sz w:val="20"/>
          <w:szCs w:val="20"/>
          <w:u w:val="single" w:color="auto"/>
          <w:color w:val="000000"/>
        </w:rPr>
        <w:t>Assignee</w:t>
      </w:r>
      <w:r>
        <w:rPr>
          <w:rFonts w:ascii="Times New Roman" w:cs="Times New Roman" w:eastAsia="Times New Roman" w:hAnsi="Times New Roman"/>
          <w:sz w:val="20"/>
          <w:szCs w:val="20"/>
          <w:color w:val="000000"/>
        </w:rPr>
        <w:t>. The Assignee (a) represents and warrants that (i) it has full power and authority, and has taken all action necessary,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to execute and deliver this Assignment and Assumption and to consummate the transactions contemplated hereby and to become a Lender</w:t>
      </w:r>
    </w:p>
    <w:p>
      <w:pPr>
        <w:spacing w:after="0" w:line="212" w:lineRule="auto"/>
        <w:rPr>
          <w:sz w:val="20"/>
          <w:szCs w:val="20"/>
          <w:color w:val="auto"/>
        </w:rPr>
      </w:pPr>
      <w:r>
        <w:rPr>
          <w:rFonts w:ascii="Times New Roman" w:cs="Times New Roman" w:eastAsia="Times New Roman" w:hAnsi="Times New Roman"/>
          <w:sz w:val="20"/>
          <w:szCs w:val="20"/>
          <w:color w:val="auto"/>
        </w:rPr>
        <w:t>under the Credit Agreement, (ii) it satisfies the requirements, if any, specified in the Credit Agreement and under applicable law that are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w:t>
      </w:r>
    </w:p>
    <w:p>
      <w:pPr>
        <w:spacing w:after="0" w:line="222" w:lineRule="auto"/>
        <w:rPr>
          <w:sz w:val="20"/>
          <w:szCs w:val="20"/>
          <w:color w:val="auto"/>
        </w:rPr>
      </w:pPr>
      <w:r>
        <w:rPr>
          <w:rFonts w:ascii="Times New Roman" w:cs="Times New Roman" w:eastAsia="Times New Roman" w:hAnsi="Times New Roman"/>
          <w:sz w:val="19"/>
          <w:szCs w:val="19"/>
          <w:color w:val="auto"/>
        </w:rPr>
        <w:t>of a Lender thereunder, (iv) it is sophisticated with respect to decisions to acquire assets of the type represented by the Assigned Interest and</w:t>
      </w:r>
    </w:p>
    <w:p>
      <w:pPr>
        <w:spacing w:after="0" w:line="204" w:lineRule="auto"/>
        <w:rPr>
          <w:sz w:val="20"/>
          <w:szCs w:val="20"/>
          <w:color w:val="auto"/>
        </w:rPr>
      </w:pPr>
      <w:r>
        <w:rPr>
          <w:rFonts w:ascii="Times New Roman" w:cs="Times New Roman" w:eastAsia="Times New Roman" w:hAnsi="Times New Roman"/>
          <w:sz w:val="20"/>
          <w:szCs w:val="20"/>
          <w:color w:val="auto"/>
        </w:rPr>
        <w:t>either it, or the Person exercising discretion in making its decision to acquire the Assigned Interest, is experienced in acquiring assets of this type, (v) it has received a copy of the Credit Agreement, together with copies of the most recent financial statements delivered pursuant to</w:t>
      </w:r>
    </w:p>
    <w:p>
      <w:pPr>
        <w:spacing w:after="0" w:line="211" w:lineRule="auto"/>
        <w:rPr>
          <w:sz w:val="20"/>
          <w:szCs w:val="20"/>
          <w:color w:val="auto"/>
        </w:rPr>
      </w:pPr>
      <w:r>
        <w:rPr>
          <w:rFonts w:ascii="Times New Roman" w:cs="Times New Roman" w:eastAsia="Times New Roman" w:hAnsi="Times New Roman"/>
          <w:sz w:val="20"/>
          <w:szCs w:val="20"/>
          <w:color w:val="auto"/>
        </w:rPr>
        <w:t>Sections 5.01(a) and 5.01(b) thereof, as applicable, and such other documents and information as it has deemed appropriate to make its own</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credit analysis and decision to enter into this Assignment and Assumption and to purchase the Assigned Interest on the basis of which it has made such analysis and decision independently and without reliance on the Administrative Agent, the Arrangers, the Assignor or any other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Lender or their respective Related Parties, and (vi) attached to the Assignment and Assumption is any documentation required to be delivered by it pursuant to the terms of the Credit Agreement, duly completed and executed by the Assignee; and (b) agrees that (i) it will,</w:t>
      </w:r>
    </w:p>
    <w:p>
      <w:pPr>
        <w:spacing w:after="0" w:line="223" w:lineRule="auto"/>
        <w:rPr>
          <w:sz w:val="20"/>
          <w:szCs w:val="20"/>
          <w:color w:val="auto"/>
        </w:rPr>
      </w:pPr>
      <w:r>
        <w:rPr>
          <w:rFonts w:ascii="Times New Roman" w:cs="Times New Roman" w:eastAsia="Times New Roman" w:hAnsi="Times New Roman"/>
          <w:sz w:val="19"/>
          <w:szCs w:val="19"/>
          <w:color w:val="auto"/>
        </w:rPr>
        <w:t>independently and without reliance on the Administrative Agent, the Arrangers, the Syndication Agents, the Assignor or any other Lender or</w:t>
      </w:r>
    </w:p>
    <w:p>
      <w:pPr>
        <w:ind w:right="20"/>
        <w:spacing w:after="0" w:line="204" w:lineRule="auto"/>
        <w:rPr>
          <w:sz w:val="20"/>
          <w:szCs w:val="20"/>
          <w:color w:val="auto"/>
        </w:rPr>
      </w:pPr>
      <w:r>
        <w:rPr>
          <w:rFonts w:ascii="Times New Roman" w:cs="Times New Roman" w:eastAsia="Times New Roman" w:hAnsi="Times New Roman"/>
          <w:sz w:val="20"/>
          <w:szCs w:val="20"/>
          <w:color w:val="auto"/>
        </w:rPr>
        <w:t>their respective Related Parties, and based on such documents and information as it shall deem appropriate at the time, continue to make its own credit decisions in taking or not taking action under the Loan Documents, and (ii) it will perform in accordance with their terms all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obligations which by the terms of the Loan Documents are required to be performed by it as a Lender.</w:t>
      </w:r>
    </w:p>
    <w:p>
      <w:pPr>
        <w:spacing w:after="0" w:line="167" w:lineRule="exact"/>
        <w:rPr>
          <w:sz w:val="20"/>
          <w:szCs w:val="20"/>
          <w:color w:val="auto"/>
        </w:rPr>
      </w:pPr>
    </w:p>
    <w:p>
      <w:pPr>
        <w:jc w:val="both"/>
        <w:ind w:firstLine="656"/>
        <w:spacing w:after="0" w:line="226" w:lineRule="auto"/>
        <w:tabs>
          <w:tab w:leader="none" w:pos="1296" w:val="left"/>
        </w:tabs>
        <w:numPr>
          <w:ilvl w:val="0"/>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60" w:lineRule="exact"/>
        <w:rPr>
          <w:rFonts w:ascii="Times New Roman" w:cs="Times New Roman" w:eastAsia="Times New Roman" w:hAnsi="Times New Roman"/>
          <w:sz w:val="20"/>
          <w:szCs w:val="20"/>
          <w:color w:val="010000"/>
        </w:rPr>
      </w:pPr>
    </w:p>
    <w:p>
      <w:pPr>
        <w:jc w:val="both"/>
        <w:ind w:firstLine="656"/>
        <w:spacing w:after="0" w:line="217" w:lineRule="auto"/>
        <w:tabs>
          <w:tab w:leader="none" w:pos="1296" w:val="left"/>
        </w:tabs>
        <w:numPr>
          <w:ilvl w:val="0"/>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General Provisions</w:t>
      </w:r>
      <w:r>
        <w:rPr>
          <w:rFonts w:ascii="Times New Roman" w:cs="Times New Roman" w:eastAsia="Times New Roman" w:hAnsi="Times New Roman"/>
          <w:sz w:val="20"/>
          <w:szCs w:val="20"/>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(as defined in the Credit Agreement) or delivery of an executed counterpart of a signature page of this Assignment and Assumption by any Approved Electronic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1-1</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defined in the Credit Agreement) shall be effective as delivery of a manually executed counterpart of this Assignment and Assumption.</w:t>
      </w:r>
    </w:p>
    <w:p>
      <w:pPr>
        <w:spacing w:after="0"/>
        <w:rPr>
          <w:sz w:val="20"/>
          <w:szCs w:val="20"/>
          <w:color w:val="auto"/>
        </w:rPr>
      </w:pPr>
      <w:r>
        <w:rPr>
          <w:rFonts w:ascii="Times New Roman" w:cs="Times New Roman" w:eastAsia="Times New Roman" w:hAnsi="Times New Roman"/>
          <w:sz w:val="20"/>
          <w:szCs w:val="20"/>
          <w:color w:val="auto"/>
        </w:rPr>
        <w:t>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1-2</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RESERVED</w:t>
      </w:r>
      <w:r>
        <w:rPr>
          <w:rFonts w:ascii="Times New Roman" w:cs="Times New Roman" w:eastAsia="Times New Roman" w:hAnsi="Times New Roman"/>
          <w:sz w:val="25"/>
          <w:szCs w:val="25"/>
          <w:b w:val="1"/>
          <w:bCs w:val="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1440" w:right="1440" w:bottom="1440" w:gutter="0" w:footer="0" w:header="0"/>
        </w:sectPr>
      </w:pPr>
    </w:p>
    <w:bookmarkStart w:id="144" w:name="page145"/>
    <w:bookmarkEnd w:id="144"/>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FORM OF</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19"/>
          <w:szCs w:val="19"/>
          <w:color w:val="auto"/>
        </w:rPr>
        <w:t>BORROWING REQUEST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CRICUT,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BMO Commercial Bank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142 E 200 S Floor 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Salt Lake City, UT 84111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Karlee Page, Vice President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Phone: (480) 268-6610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Karlee.Page@bmo.com</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This Borrowing Request is furnished pursuant to Section 2.03 of that certain Credit Agreement dated as of October 22, 2026 (as amended, restated, supplemented or otherwise modified from time to time, the “Agreement”) among Cricut, Inc.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other Loan Parties, the lenders party thereto and BMO Bank N.A. (“</w:t>
      </w:r>
      <w:r>
        <w:rPr>
          <w:rFonts w:ascii="Times New Roman" w:cs="Times New Roman" w:eastAsia="Times New Roman" w:hAnsi="Times New Roman"/>
          <w:sz w:val="20"/>
          <w:szCs w:val="20"/>
          <w:u w:val="single" w:color="auto"/>
          <w:color w:val="auto"/>
        </w:rPr>
        <w:t>BMO</w:t>
      </w:r>
      <w:r>
        <w:rPr>
          <w:rFonts w:ascii="Times New Roman" w:cs="Times New Roman" w:eastAsia="Times New Roman" w:hAnsi="Times New Roman"/>
          <w:sz w:val="20"/>
          <w:szCs w:val="20"/>
          <w:color w:val="auto"/>
        </w:rPr>
        <w:t>”), as Administrative Agent for the Lenders. Unless otherwise defined herein, capitalized terms used in this Borrowing Request have the meanings ascribed thereto in the Agreement. The Borrower represents that, as of this date, the conditions precedent set forth in Section 4.02 are satisfied.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hereby notifies BMO of its request for the following Revolving Borrowing:</w:t>
      </w:r>
    </w:p>
    <w:p>
      <w:pPr>
        <w:spacing w:after="0" w:line="229" w:lineRule="exact"/>
        <w:rPr>
          <w:sz w:val="20"/>
          <w:szCs w:val="20"/>
          <w:color w:val="auto"/>
        </w:rPr>
      </w:pPr>
    </w:p>
    <w:p>
      <w:pPr>
        <w:ind w:left="1300" w:hanging="644"/>
        <w:spacing w:after="0"/>
        <w:tabs>
          <w:tab w:leader="none" w:pos="130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and Agreed Currency of the Borrowing</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20"/>
          <w:szCs w:val="20"/>
          <w:color w:val="auto"/>
        </w:rPr>
        <w:t>: $_________________</w:t>
      </w:r>
    </w:p>
    <w:p>
      <w:pPr>
        <w:spacing w:after="0" w:line="15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of the Borrowing (must be a Business Day): ____________________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Borrowing shall be (check one) ___ an ABR Borrowing, ___ an RFR Borrowing or ___ a Term Benchmark Borrowing</w:t>
      </w:r>
      <w:r>
        <w:rPr>
          <w:rFonts w:ascii="Times New Roman" w:cs="Times New Roman" w:eastAsia="Times New Roman" w:hAnsi="Times New Roman"/>
          <w:sz w:val="24"/>
          <w:szCs w:val="24"/>
          <w:color w:val="auto"/>
          <w:vertAlign w:val="superscript"/>
        </w:rPr>
        <w:t>7</w:t>
      </w:r>
    </w:p>
    <w:p>
      <w:pPr>
        <w:spacing w:after="0" w:line="183"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Term Benchmark Borrowing, the duration of the Interest Period (check one)</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One Month __________</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Three Months_________</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Six Months__________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645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2" w:lineRule="exact"/>
        <w:rPr>
          <w:sz w:val="20"/>
          <w:szCs w:val="20"/>
          <w:color w:val="auto"/>
        </w:rPr>
      </w:pPr>
    </w:p>
    <w:p>
      <w:pPr>
        <w:ind w:left="120" w:hanging="112"/>
        <w:spacing w:after="0"/>
        <w:tabs>
          <w:tab w:leader="none" w:pos="120" w:val="left"/>
        </w:tabs>
        <w:numPr>
          <w:ilvl w:val="0"/>
          <w:numId w:val="1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Must comply with Sections 2.01 and 2.02(c) of the Agreement</w:t>
      </w:r>
    </w:p>
    <w:p>
      <w:pPr>
        <w:ind w:left="120" w:hanging="112"/>
        <w:spacing w:after="0" w:line="196" w:lineRule="auto"/>
        <w:tabs>
          <w:tab w:leader="none" w:pos="120" w:val="left"/>
        </w:tabs>
        <w:numPr>
          <w:ilvl w:val="0"/>
          <w:numId w:val="1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If no election is made, then the requested Borrowing shall be an ABR Borrowing</w:t>
      </w:r>
    </w:p>
    <w:p>
      <w:pPr>
        <w:ind w:firstLine="8"/>
        <w:spacing w:after="0" w:line="224" w:lineRule="auto"/>
        <w:tabs>
          <w:tab w:leader="none" w:pos="116" w:val="left"/>
        </w:tabs>
        <w:numPr>
          <w:ilvl w:val="0"/>
          <w:numId w:val="1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Shall be subject to the definition of “Interest Period.” Cannot extend beyond the Revolving Credit Maturity Date. If an Interest Period is not specified, then the Borrower shall be deemed to have selected an Interest Period of one month’s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89" w:lineRule="exact"/>
        <w:rPr>
          <w:sz w:val="20"/>
          <w:szCs w:val="20"/>
          <w:color w:val="auto"/>
        </w:rPr>
      </w:pPr>
    </w:p>
    <w:p>
      <w:pPr>
        <w:ind w:left="644" w:hanging="644"/>
        <w:spacing w:after="0" w:line="283" w:lineRule="auto"/>
        <w:tabs>
          <w:tab w:leader="none" w:pos="64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Location and number of the Borrower’s account or any other account agreed upon by the Administrative Agent and the Borrower to which proceeds of Borrowing are to be disbursed:</w:t>
      </w:r>
    </w:p>
    <w:p>
      <w:pPr>
        <w:spacing w:after="0" w:line="146" w:lineRule="exact"/>
        <w:rPr>
          <w:rFonts w:ascii="Times New Roman" w:cs="Times New Roman" w:eastAsia="Times New Roman" w:hAnsi="Times New Roman"/>
          <w:sz w:val="20"/>
          <w:szCs w:val="20"/>
          <w:color w:val="auto"/>
        </w:rPr>
      </w:pPr>
    </w:p>
    <w:p>
      <w:pPr>
        <w:jc w:val="both"/>
        <w:ind w:left="644" w:right="8460"/>
        <w:spacing w:after="0" w:line="5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Account Location: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1381125</wp:posOffset>
            </wp:positionH>
            <wp:positionV relativeFrom="paragraph">
              <wp:posOffset>-498475</wp:posOffset>
            </wp:positionV>
            <wp:extent cx="1257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-207010</wp:posOffset>
            </wp:positionV>
            <wp:extent cx="1257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44"/>
        <w:spacing w:after="0"/>
        <w:rPr>
          <w:sz w:val="20"/>
          <w:szCs w:val="20"/>
          <w:color w:val="auto"/>
        </w:rPr>
      </w:pPr>
      <w:r>
        <w:rPr>
          <w:rFonts w:ascii="Times New Roman" w:cs="Times New Roman" w:eastAsia="Times New Roman" w:hAnsi="Times New Roman"/>
          <w:sz w:val="20"/>
          <w:szCs w:val="20"/>
          <w:color w:val="auto"/>
        </w:rPr>
        <w:t>CRICUT, INC., as the Borrower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44"/>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-10795</wp:posOffset>
            </wp:positionV>
            <wp:extent cx="1257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3244"/>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-20320</wp:posOffset>
            </wp:positionV>
            <wp:extent cx="1257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444"/>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-24765</wp:posOffset>
            </wp:positionV>
            <wp:extent cx="1257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C-1-2</w:t>
      </w:r>
    </w:p>
    <w:p>
      <w:pPr>
        <w:sectPr>
          <w:pgSz w:w="11900" w:h="16838" w:orient="portrait"/>
          <w:cols w:equalWidth="0" w:num="1">
            <w:col w:w="10584"/>
          </w:cols>
          <w:pgMar w:left="976" w:top="1440" w:right="339" w:bottom="1440" w:gutter="0" w:footer="0" w:header="0"/>
        </w:sectPr>
      </w:pPr>
    </w:p>
    <w:bookmarkStart w:id="146" w:name="page147"/>
    <w:bookmarkEnd w:id="146"/>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FORM OF</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19"/>
          <w:szCs w:val="19"/>
          <w:color w:val="auto"/>
        </w:rPr>
        <w:t>INTEREST ELECTION REQUEST</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CRICUT,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BMO Commercial Bank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142 E 200 S Floor 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Salt Lake City, UT 84111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Karlee Page, Vice President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Phone: (480) 268-6610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Karlee.Page@bmo.com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Interest Election Request is furnished pursuant to Section 2.08(c) of that certain Credit Agreement dated as of October 22, 2026 (as amended, restated, supplemented or otherwise modified from time to time,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Cricut, Inc.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other Loan Parties, the lenders party thereto and BMO Bank N.A. (“</w:t>
      </w:r>
      <w:r>
        <w:rPr>
          <w:rFonts w:ascii="Times New Roman" w:cs="Times New Roman" w:eastAsia="Times New Roman" w:hAnsi="Times New Roman"/>
          <w:sz w:val="20"/>
          <w:szCs w:val="20"/>
          <w:u w:val="single" w:color="auto"/>
          <w:color w:val="auto"/>
        </w:rPr>
        <w:t>BMO</w:t>
      </w:r>
      <w:r>
        <w:rPr>
          <w:rFonts w:ascii="Times New Roman" w:cs="Times New Roman" w:eastAsia="Times New Roman" w:hAnsi="Times New Roman"/>
          <w:sz w:val="20"/>
          <w:szCs w:val="20"/>
          <w:color w:val="auto"/>
        </w:rPr>
        <w:t>”), as Administrative Agent for the Lenders. Unless otherwise defined herein, capitalized terms used in this Interest Election Request have the meanings ascribed thereto in the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is hereby requesting to convert or continue certain Borrowings as follows:</w:t>
      </w:r>
    </w:p>
    <w:p>
      <w:pPr>
        <w:spacing w:after="0" w:line="216" w:lineRule="exact"/>
        <w:rPr>
          <w:sz w:val="20"/>
          <w:szCs w:val="20"/>
          <w:color w:val="auto"/>
        </w:rPr>
      </w:pPr>
    </w:p>
    <w:p>
      <w:pPr>
        <w:ind w:left="980" w:hanging="648"/>
        <w:spacing w:after="0"/>
        <w:tabs>
          <w:tab w:leader="none" w:pos="98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Agreed Currency and Borrowing to which this Interest Election Request applies</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20"/>
          <w:szCs w:val="20"/>
          <w:color w:val="auto"/>
        </w:rPr>
        <w:t>:</w:t>
      </w:r>
    </w:p>
    <w:p>
      <w:pPr>
        <w:spacing w:after="0" w:line="171" w:lineRule="exact"/>
        <w:rPr>
          <w:rFonts w:ascii="Times New Roman" w:cs="Times New Roman" w:eastAsia="Times New Roman" w:hAnsi="Times New Roman"/>
          <w:sz w:val="20"/>
          <w:szCs w:val="20"/>
          <w:color w:val="auto"/>
        </w:rPr>
      </w:pPr>
    </w:p>
    <w:p>
      <w:pPr>
        <w:ind w:left="9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________________________________</w:t>
      </w:r>
    </w:p>
    <w:p>
      <w:pPr>
        <w:spacing w:after="0" w:line="215" w:lineRule="exact"/>
        <w:rPr>
          <w:rFonts w:ascii="Times New Roman" w:cs="Times New Roman" w:eastAsia="Times New Roman" w:hAnsi="Times New Roman"/>
          <w:sz w:val="20"/>
          <w:szCs w:val="20"/>
          <w:color w:val="auto"/>
        </w:rPr>
      </w:pPr>
    </w:p>
    <w:p>
      <w:pPr>
        <w:ind w:left="980" w:hanging="648"/>
        <w:spacing w:after="0"/>
        <w:tabs>
          <w:tab w:leader="none" w:pos="98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of conversion/continuation (must be a Business Day): __________________,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-10795</wp:posOffset>
            </wp:positionV>
            <wp:extent cx="311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9" w:lineRule="exact"/>
        <w:rPr>
          <w:sz w:val="20"/>
          <w:szCs w:val="20"/>
          <w:color w:val="auto"/>
        </w:rPr>
      </w:pPr>
    </w:p>
    <w:p>
      <w:pPr>
        <w:ind w:left="340"/>
        <w:spacing w:after="0"/>
        <w:tabs>
          <w:tab w:leader="none" w:pos="960" w:val="left"/>
          <w:tab w:leader="none" w:pos="542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20"/>
          <w:szCs w:val="20"/>
          <w:color w:val="auto"/>
        </w:rPr>
        <w:t>Amount of Borrowings being converted/continued:</w:t>
      </w:r>
      <w:r>
        <w:rPr>
          <w:sz w:val="20"/>
          <w:szCs w:val="20"/>
          <w:color w:val="auto"/>
        </w:rPr>
        <w:tab/>
      </w:r>
      <w:r>
        <w:rPr>
          <w:rFonts w:ascii="Times New Roman" w:cs="Times New Roman" w:eastAsia="Times New Roman" w:hAnsi="Times New Roman"/>
          <w:sz w:val="19"/>
          <w:szCs w:val="19"/>
          <w:color w:val="auto"/>
        </w:rPr>
        <w:t>$ _______________</w:t>
      </w:r>
    </w:p>
    <w:p>
      <w:pPr>
        <w:spacing w:after="0" w:line="229" w:lineRule="exact"/>
        <w:rPr>
          <w:sz w:val="20"/>
          <w:szCs w:val="20"/>
          <w:color w:val="auto"/>
        </w:rPr>
      </w:pPr>
    </w:p>
    <w:p>
      <w:pPr>
        <w:ind w:left="700" w:hanging="368"/>
        <w:spacing w:after="0"/>
        <w:tabs>
          <w:tab w:leader="none" w:pos="7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Nature of conversion/continuation:</w:t>
      </w:r>
    </w:p>
    <w:p>
      <w:pPr>
        <w:spacing w:after="0" w:line="21" w:lineRule="exact"/>
        <w:rPr>
          <w:rFonts w:ascii="Times New Roman" w:cs="Times New Roman" w:eastAsia="Times New Roman" w:hAnsi="Times New Roman"/>
          <w:sz w:val="20"/>
          <w:szCs w:val="20"/>
          <w:color w:val="auto"/>
        </w:rPr>
      </w:pPr>
    </w:p>
    <w:p>
      <w:pPr>
        <w:ind w:left="1200" w:hanging="180"/>
        <w:spacing w:after="0"/>
        <w:tabs>
          <w:tab w:leader="none" w:pos="120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Conversion of ABR Borrowings to Term Benchmark Borrowings</w:t>
      </w:r>
    </w:p>
    <w:p>
      <w:pPr>
        <w:spacing w:after="0" w:line="6" w:lineRule="exact"/>
        <w:rPr>
          <w:rFonts w:ascii="Times New Roman" w:cs="Times New Roman" w:eastAsia="Times New Roman" w:hAnsi="Times New Roman"/>
          <w:sz w:val="20"/>
          <w:szCs w:val="20"/>
          <w:color w:val="auto"/>
        </w:rPr>
      </w:pPr>
    </w:p>
    <w:p>
      <w:pPr>
        <w:ind w:left="1220" w:hanging="200"/>
        <w:spacing w:after="0"/>
        <w:tabs>
          <w:tab w:leader="none" w:pos="122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Conversion of Term Benchmark Borrowings to ABR Borrowings</w:t>
      </w:r>
    </w:p>
    <w:p>
      <w:pPr>
        <w:spacing w:after="0" w:line="6" w:lineRule="exact"/>
        <w:rPr>
          <w:rFonts w:ascii="Times New Roman" w:cs="Times New Roman" w:eastAsia="Times New Roman" w:hAnsi="Times New Roman"/>
          <w:sz w:val="20"/>
          <w:szCs w:val="20"/>
          <w:color w:val="auto"/>
        </w:rPr>
      </w:pPr>
    </w:p>
    <w:p>
      <w:pPr>
        <w:ind w:left="1200" w:hanging="180"/>
        <w:spacing w:after="0"/>
        <w:tabs>
          <w:tab w:leader="none" w:pos="120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Conversion of RFR Borrowings to Term Benchmark Borrowings</w:t>
      </w:r>
    </w:p>
    <w:p>
      <w:pPr>
        <w:spacing w:after="0" w:line="6" w:lineRule="exact"/>
        <w:rPr>
          <w:rFonts w:ascii="Times New Roman" w:cs="Times New Roman" w:eastAsia="Times New Roman" w:hAnsi="Times New Roman"/>
          <w:sz w:val="20"/>
          <w:szCs w:val="20"/>
          <w:color w:val="auto"/>
        </w:rPr>
      </w:pPr>
    </w:p>
    <w:p>
      <w:pPr>
        <w:ind w:left="1220" w:hanging="200"/>
        <w:spacing w:after="0"/>
        <w:tabs>
          <w:tab w:leader="none" w:pos="122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Conversion of Term Benchmark Borrowings to RFR Borrowings</w:t>
      </w:r>
    </w:p>
    <w:p>
      <w:pPr>
        <w:spacing w:after="0" w:line="13" w:lineRule="exact"/>
        <w:rPr>
          <w:rFonts w:ascii="Times New Roman" w:cs="Times New Roman" w:eastAsia="Times New Roman" w:hAnsi="Times New Roman"/>
          <w:sz w:val="20"/>
          <w:szCs w:val="20"/>
          <w:color w:val="auto"/>
        </w:rPr>
      </w:pPr>
    </w:p>
    <w:p>
      <w:pPr>
        <w:ind w:left="1200" w:hanging="180"/>
        <w:spacing w:after="0"/>
        <w:tabs>
          <w:tab w:leader="none" w:pos="120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Continuation of Term Benchmark Borrowings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6459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93" w:lineRule="exact"/>
        <w:rPr>
          <w:sz w:val="20"/>
          <w:szCs w:val="20"/>
          <w:color w:val="auto"/>
        </w:rPr>
      </w:pPr>
    </w:p>
    <w:p>
      <w:pPr>
        <w:ind w:right="20" w:firstLine="8"/>
        <w:spacing w:after="0" w:line="229" w:lineRule="auto"/>
        <w:tabs>
          <w:tab w:leader="none" w:pos="110" w:val="left"/>
        </w:tabs>
        <w:numPr>
          <w:ilvl w:val="0"/>
          <w:numId w:val="18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If different options are being elected with respect to different portions thereof, the portions thereof to be allocated to each resulting Borrowing (in which case the information to be specified below shall be specified for each resulting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C-2-1</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9" w:lineRule="exact"/>
        <w:rPr>
          <w:sz w:val="20"/>
          <w:szCs w:val="20"/>
          <w:color w:val="auto"/>
        </w:rPr>
      </w:pPr>
    </w:p>
    <w:p>
      <w:pPr>
        <w:ind w:left="660" w:right="20" w:hanging="319"/>
        <w:spacing w:after="0" w:line="229" w:lineRule="auto"/>
        <w:tabs>
          <w:tab w:leader="none" w:pos="640" w:val="left"/>
        </w:tabs>
        <w:rPr>
          <w:sz w:val="20"/>
          <w:szCs w:val="20"/>
          <w:color w:val="auto"/>
        </w:rPr>
      </w:pPr>
      <w:r>
        <w:rPr>
          <w:rFonts w:ascii="Times New Roman" w:cs="Times New Roman" w:eastAsia="Times New Roman" w:hAnsi="Times New Roman"/>
          <w:sz w:val="20"/>
          <w:szCs w:val="20"/>
          <w:color w:val="auto"/>
        </w:rPr>
        <w:t>4.</w:t>
        <w:tab/>
        <w:t>If Borrowings are being continued as or converted to Term Benchmark Borrowings, the duration of the new Interest Period that commences on the conversion/continuation date (check one)</w:t>
      </w:r>
      <w:r>
        <w:rPr>
          <w:rFonts w:ascii="Times New Roman" w:cs="Times New Roman" w:eastAsia="Times New Roman" w:hAnsi="Times New Roman"/>
          <w:sz w:val="25"/>
          <w:szCs w:val="25"/>
          <w:color w:val="auto"/>
          <w:vertAlign w:val="superscript"/>
        </w:rPr>
        <w:t>10</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color w:val="auto"/>
        </w:rPr>
        <w:t>One Month</w:t>
      </w:r>
      <w:r>
        <w:rPr>
          <w:sz w:val="20"/>
          <w:szCs w:val="20"/>
          <w:color w:val="auto"/>
        </w:rPr>
        <w:tab/>
      </w:r>
      <w:r>
        <w:rPr>
          <w:rFonts w:ascii="Times New Roman" w:cs="Times New Roman" w:eastAsia="Times New Roman" w:hAnsi="Times New Roman"/>
          <w:sz w:val="19"/>
          <w:szCs w:val="19"/>
          <w:color w:val="auto"/>
        </w:rPr>
        <w:t>__________</w:t>
      </w:r>
    </w:p>
    <w:p>
      <w:pPr>
        <w:sectPr>
          <w:pgSz w:w="11900" w:h="16838" w:orient="portrait"/>
          <w:cols w:equalWidth="0" w:num="1">
            <w:col w:w="11240"/>
          </w:cols>
          <w:pgMar w:left="320" w:top="1440" w:right="339" w:bottom="1440" w:gutter="0" w:footer="0" w:header="0"/>
        </w:sect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Three Months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w:t>
      </w:r>
    </w:p>
    <w:p>
      <w:pPr>
        <w:spacing w:after="0" w:line="200" w:lineRule="exact"/>
        <w:rPr>
          <w:sz w:val="20"/>
          <w:szCs w:val="20"/>
          <w:color w:val="auto"/>
        </w:rPr>
      </w:pPr>
    </w:p>
    <w:p>
      <w:pPr>
        <w:sectPr>
          <w:pgSz w:w="11900" w:h="16838" w:orient="portrait"/>
          <w:cols w:equalWidth="0" w:num="2">
            <w:col w:w="1780" w:space="180"/>
            <w:col w:w="9280"/>
          </w:cols>
          <w:pgMar w:left="320" w:top="1440" w:right="339" w:bottom="1440" w:gutter="0" w:footer="0" w:header="0"/>
          <w:type w:val="continuous"/>
        </w:sectPr>
      </w:pP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Six Months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__________</w:t>
      </w:r>
    </w:p>
    <w:p>
      <w:pPr>
        <w:spacing w:after="0" w:line="200" w:lineRule="exact"/>
        <w:rPr>
          <w:sz w:val="20"/>
          <w:szCs w:val="20"/>
          <w:color w:val="auto"/>
        </w:rPr>
      </w:pPr>
    </w:p>
    <w:p>
      <w:pPr>
        <w:sectPr>
          <w:pgSz w:w="11900" w:h="16838" w:orient="portrait"/>
          <w:cols w:equalWidth="0" w:num="2">
            <w:col w:w="1580" w:space="200"/>
            <w:col w:w="9460"/>
          </w:cols>
          <w:pgMar w:left="320" w:top="1440" w:right="339" w:bottom="1440" w:gutter="0" w:footer="0" w:header="0"/>
          <w:type w:val="continuous"/>
        </w:sectPr>
      </w:pPr>
    </w:p>
    <w:p>
      <w:pPr>
        <w:spacing w:after="0" w:line="41" w:lineRule="exact"/>
        <w:rPr>
          <w:sz w:val="20"/>
          <w:szCs w:val="20"/>
          <w:color w:val="auto"/>
        </w:rPr>
      </w:pPr>
    </w:p>
    <w:p>
      <w:pPr>
        <w:ind w:left="660" w:hanging="328"/>
        <w:spacing w:after="0" w:line="283" w:lineRule="auto"/>
        <w:tabs>
          <w:tab w:leader="none" w:pos="66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officer of the Borrower certifies that, both before and after giving effect to the request above, no Default or Event of Default has occurred and is continuing under the Agreement.</w:t>
      </w:r>
    </w:p>
    <w:p>
      <w:pPr>
        <w:spacing w:after="0" w:line="38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0"/>
          <w:szCs w:val="20"/>
          <w:color w:val="auto"/>
        </w:rPr>
        <w:t>CRICUT, INC., as the Borrower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3251835</wp:posOffset>
            </wp:positionH>
            <wp:positionV relativeFrom="paragraph">
              <wp:posOffset>-24765</wp:posOffset>
            </wp:positionV>
            <wp:extent cx="5022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16459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-20320</wp:posOffset>
            </wp:positionV>
            <wp:extent cx="5022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8"/>
        <w:spacing w:after="0" w:line="229" w:lineRule="auto"/>
        <w:tabs>
          <w:tab w:leader="none" w:pos="172" w:val="left"/>
        </w:tabs>
        <w:numPr>
          <w:ilvl w:val="0"/>
          <w:numId w:val="1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Shall be subject to the definition of “Interest Period.” Cannot extend beyond the Revolving Credit Maturity Date. If an Interest Period is not specified, then the Borrower shall be deemed to have selected an Interest Period of one month’s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C-2-2</w:t>
      </w:r>
    </w:p>
    <w:p>
      <w:pPr>
        <w:sectPr>
          <w:pgSz w:w="11900" w:h="16838" w:orient="portrait"/>
          <w:cols w:equalWidth="0" w:num="1">
            <w:col w:w="11240"/>
          </w:cols>
          <w:pgMar w:left="320" w:top="1440" w:right="339" w:bottom="1440" w:gutter="0" w:footer="0" w:header="0"/>
          <w:type w:val="continuous"/>
        </w:sectPr>
      </w:pPr>
    </w:p>
    <w:bookmarkStart w:id="148" w:name="page149"/>
    <w:bookmarkEnd w:id="148"/>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D-1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Foreign Lenders That Are Not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October 22, 2026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Cricut, Inc., as Borrower, the other Loan Parties party thereto, BMO Bank N.A., as Administrative Agent, and each lender from time to time party thereto.</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Pursuant to the provisions of Section 2.17 of the Credit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prior to the first payment to be made to the undersigned, or in either of the two calendar years preceding such payments.</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NAME OF LENDER</w:t>
      </w:r>
      <w:r>
        <w:rPr>
          <w:rFonts w:ascii="Times New Roman" w:cs="Times New Roman" w:eastAsia="Times New Roman" w:hAnsi="Times New Roman"/>
          <w:sz w:val="25"/>
          <w:szCs w:val="25"/>
          <w:b w:val="1"/>
          <w:bCs w:val="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 __, 20</w:t>
      </w:r>
      <w:r>
        <w:rPr>
          <w:rFonts w:ascii="Times New Roman" w:cs="Times New Roman" w:eastAsia="Times New Roman" w:hAnsi="Times New Roman"/>
          <w:sz w:val="25"/>
          <w:szCs w:val="25"/>
          <w:b w:val="1"/>
          <w:bCs w:val="1"/>
          <w:u w:val="single" w:color="auto"/>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D-1-1</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D-2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Foreign Participants That Are Not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October 22, 2026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Cricut, Inc., as Borrower, the other Loan Parties party thereto, BMO Bank N.A., as Administrative Agent, and each lender from time to time party thereto.</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NAME OF PARTICIPANT</w:t>
      </w:r>
      <w:r>
        <w:rPr>
          <w:rFonts w:ascii="Times New Roman" w:cs="Times New Roman" w:eastAsia="Times New Roman" w:hAnsi="Times New Roman"/>
          <w:sz w:val="25"/>
          <w:szCs w:val="25"/>
          <w:b w:val="1"/>
          <w:bCs w:val="1"/>
          <w:u w:val="single" w:color="auto"/>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 __, 20</w:t>
      </w:r>
      <w:r>
        <w:rPr>
          <w:rFonts w:ascii="Times New Roman" w:cs="Times New Roman" w:eastAsia="Times New Roman" w:hAnsi="Times New Roman"/>
          <w:sz w:val="25"/>
          <w:szCs w:val="25"/>
          <w:b w:val="1"/>
          <w:bCs w:val="1"/>
          <w:u w:val="single" w:color="auto"/>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D-2-1</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D-3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Foreign Participants That Are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October 22, 2026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Cricut, Inc., as Borrower, the other Loan Parties party thereto, BMO Bank N.A., as Administrative Agent, and each lender from time to time party thereto.</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 withholding statement together with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18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NAME OF PARTICIPANT</w:t>
      </w:r>
      <w:r>
        <w:rPr>
          <w:rFonts w:ascii="Times New Roman" w:cs="Times New Roman" w:eastAsia="Times New Roman" w:hAnsi="Times New Roman"/>
          <w:sz w:val="25"/>
          <w:szCs w:val="25"/>
          <w:b w:val="1"/>
          <w:bCs w:val="1"/>
          <w:u w:val="single" w:color="auto"/>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 __, 20</w:t>
      </w:r>
      <w:r>
        <w:rPr>
          <w:rFonts w:ascii="Times New Roman" w:cs="Times New Roman" w:eastAsia="Times New Roman" w:hAnsi="Times New Roman"/>
          <w:sz w:val="25"/>
          <w:szCs w:val="25"/>
          <w:b w:val="1"/>
          <w:bCs w:val="1"/>
          <w:u w:val="single" w:color="auto"/>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D-3-1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D-4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Foreign Lenders That Are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October 22, 2026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Cricut, Inc., as Borrower, the other Loan Parties party thereto, BMO Bank N.A., as Administrative Agent, and each lender from time to time party thereto.</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Pursuant to the provisions of Section 2.17 of the Credit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undersigned has furnished the Administrative Agent and the Borrower with IRS Form W-8IMY accompanied by one of the following forms from each of its partners/members that is claiming the portfolio interest exemption: (i) an IRS Form W-8BEN or IRS Form W-8BEN-E, as applicable, or (ii) an IRS Form W-8IMY accompanied by a withholding statement together with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prior to the first payment to be made to the undersigned, or in either of the two calendar years preceding such payments.</w:t>
      </w:r>
    </w:p>
    <w:p>
      <w:pPr>
        <w:spacing w:after="0" w:line="19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NAME OF LENDER</w:t>
      </w:r>
      <w:r>
        <w:rPr>
          <w:rFonts w:ascii="Times New Roman" w:cs="Times New Roman" w:eastAsia="Times New Roman" w:hAnsi="Times New Roman"/>
          <w:sz w:val="25"/>
          <w:szCs w:val="25"/>
          <w:b w:val="1"/>
          <w:bCs w:val="1"/>
          <w:u w:val="single" w:color="auto"/>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 __, 20</w:t>
      </w:r>
      <w:r>
        <w:rPr>
          <w:rFonts w:ascii="Times New Roman" w:cs="Times New Roman" w:eastAsia="Times New Roman" w:hAnsi="Times New Roman"/>
          <w:sz w:val="25"/>
          <w:szCs w:val="25"/>
          <w:b w:val="1"/>
          <w:bCs w:val="1"/>
          <w:u w:val="single" w:color="auto"/>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D-4-1</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COMPLIANCE CERTIFICATE</w:t>
      </w:r>
    </w:p>
    <w:p>
      <w:pPr>
        <w:spacing w:after="0" w:line="2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The Lenders party to the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Credit Agreement described below</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Compliance Certificate (this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xml:space="preserve">”), for the period ended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0"/>
          <w:szCs w:val="20"/>
          <w:color w:val="auto"/>
        </w:rPr>
        <w:t>____</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Certification Date</w:t>
      </w:r>
      <w:r>
        <w:rPr>
          <w:rFonts w:ascii="Times New Roman" w:cs="Times New Roman" w:eastAsia="Times New Roman" w:hAnsi="Times New Roman"/>
          <w:sz w:val="20"/>
          <w:szCs w:val="20"/>
          <w:color w:val="auto"/>
        </w:rPr>
        <w:t>”), is furnished pursuant to that</w:t>
      </w:r>
    </w:p>
    <w:p>
      <w:pPr>
        <w:spacing w:after="0" w:line="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certain Credit Agreement dated as of October 22, 2026 (as amended, modified, renewed or extended from time to time, the “Agreement”) among Cricut, Inc. (the “Borrower”), the other Loan Parties party thereto, the Lenders party thereto and BMO Bank N.A., as Administrative Agent for the Lenders and as the Issuing Bank and Swingline Lender. Unless otherwise defined herein, capitalized terms used in this Certificate have the meanings ascribed thereto in the Agreement.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UNDERSIGNED HEREBY CERTIFIES THAT:</w:t>
      </w:r>
    </w:p>
    <w:p>
      <w:pPr>
        <w:spacing w:after="0" w:line="223" w:lineRule="exact"/>
        <w:rPr>
          <w:sz w:val="20"/>
          <w:szCs w:val="20"/>
          <w:color w:val="auto"/>
        </w:rPr>
      </w:pPr>
    </w:p>
    <w:p>
      <w:pPr>
        <w:ind w:left="360" w:hanging="352"/>
        <w:spacing w:after="0"/>
        <w:tabs>
          <w:tab w:leader="none" w:pos="36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am the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0"/>
          <w:szCs w:val="20"/>
          <w:color w:val="auto"/>
        </w:rPr>
        <w:t>____</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0"/>
          <w:szCs w:val="20"/>
          <w:color w:val="auto"/>
        </w:rPr>
        <w:t xml:space="preserve"> of the Borrower and I am authorized to deliver this Certificate on behalf of the Borrower and its Subsidiaries;</w:t>
      </w:r>
    </w:p>
    <w:p>
      <w:pPr>
        <w:spacing w:after="0" w:line="231" w:lineRule="exact"/>
        <w:rPr>
          <w:rFonts w:ascii="Times New Roman" w:cs="Times New Roman" w:eastAsia="Times New Roman" w:hAnsi="Times New Roman"/>
          <w:sz w:val="20"/>
          <w:szCs w:val="20"/>
          <w:color w:val="auto"/>
        </w:rPr>
      </w:pPr>
    </w:p>
    <w:p>
      <w:pPr>
        <w:ind w:left="660" w:hanging="652"/>
        <w:spacing w:after="0" w:line="261" w:lineRule="auto"/>
        <w:tabs>
          <w:tab w:leader="none" w:pos="377"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the terms of the Agreement and I have made, or have caused to be made under my supervision, a detailed review of the compliance of the Borrower and its Subsidiaries with the Agreement during the accounting period covered by the attached financial statements (the “</w:t>
      </w:r>
      <w:r>
        <w:rPr>
          <w:rFonts w:ascii="Times New Roman" w:cs="Times New Roman" w:eastAsia="Times New Roman" w:hAnsi="Times New Roman"/>
          <w:sz w:val="20"/>
          <w:szCs w:val="20"/>
          <w:u w:val="single" w:color="auto"/>
          <w:color w:val="auto"/>
        </w:rPr>
        <w:t>Relevant Period</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660" w:hanging="652"/>
        <w:spacing w:after="0" w:line="253" w:lineRule="auto"/>
        <w:tabs>
          <w:tab w:leader="none" w:pos="38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attached financial statements of the Borrower and, as applicable, its Subsidiaries and/or Affiliates for the Relevant Period: (a) have been prepared on an accounting basis (the “</w:t>
      </w:r>
      <w:r>
        <w:rPr>
          <w:rFonts w:ascii="Times New Roman" w:cs="Times New Roman" w:eastAsia="Times New Roman" w:hAnsi="Times New Roman"/>
          <w:sz w:val="20"/>
          <w:szCs w:val="20"/>
          <w:u w:val="single" w:color="auto"/>
          <w:color w:val="auto"/>
        </w:rPr>
        <w:t>Accounting Method</w:t>
      </w:r>
      <w:r>
        <w:rPr>
          <w:rFonts w:ascii="Times New Roman" w:cs="Times New Roman" w:eastAsia="Times New Roman" w:hAnsi="Times New Roman"/>
          <w:sz w:val="20"/>
          <w:szCs w:val="20"/>
          <w:color w:val="auto"/>
        </w:rPr>
        <w:t>”) consistent with the requirements of the Agreement and, except as may have been otherwise expressly agreed to in the Agreement, in accordance with GAAP consistently applied, and (b) to the extent that the attached are not the Borrower’s annual fiscal year end statements, are subject to normal year-end audit adjustments and the absence of footnotes;</w:t>
      </w:r>
    </w:p>
    <w:p>
      <w:pPr>
        <w:spacing w:after="0" w:line="191" w:lineRule="exact"/>
        <w:rPr>
          <w:rFonts w:ascii="Times New Roman" w:cs="Times New Roman" w:eastAsia="Times New Roman" w:hAnsi="Times New Roman"/>
          <w:sz w:val="20"/>
          <w:szCs w:val="20"/>
          <w:color w:val="auto"/>
        </w:rPr>
      </w:pPr>
    </w:p>
    <w:p>
      <w:pPr>
        <w:ind w:left="660" w:hanging="652"/>
        <w:spacing w:after="0" w:line="253" w:lineRule="auto"/>
        <w:tabs>
          <w:tab w:leader="none" w:pos="39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examinations described in paragraph 2 did not disclose and I have no knowledge of, except as set forth below, (a) the existence of any condition or event which constitutes a Default or an Event of Default under the Agreement or any other Loan Document during or at the end of the Relevant Period or as of the date of this Certificate or (b) any change in the Accounting Method or in the application thereof that has occurred since the date of the annual financial statements delivered to the Administrative Agent in connection with the closing of the Agreement or subsequently delivered as required in the Agreement;</w:t>
      </w:r>
    </w:p>
    <w:p>
      <w:pPr>
        <w:spacing w:after="0" w:line="191" w:lineRule="exact"/>
        <w:rPr>
          <w:rFonts w:ascii="Times New Roman" w:cs="Times New Roman" w:eastAsia="Times New Roman" w:hAnsi="Times New Roman"/>
          <w:sz w:val="20"/>
          <w:szCs w:val="20"/>
          <w:color w:val="auto"/>
        </w:rPr>
      </w:pPr>
    </w:p>
    <w:p>
      <w:pPr>
        <w:ind w:left="660" w:hanging="652"/>
        <w:spacing w:after="0" w:line="261" w:lineRule="auto"/>
        <w:tabs>
          <w:tab w:leader="none" w:pos="40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hereby certify that, except as set forth below, no Loan Party has changed (i) its name, (ii) its chief executive office, (iii) its principal place of business, (iv) the type of entity it is or (v) its state of incorporation or organization without having given the Administrative Agent the notice required by the Security Agreement;</w:t>
      </w:r>
    </w:p>
    <w:p>
      <w:pPr>
        <w:spacing w:after="0" w:line="181" w:lineRule="exact"/>
        <w:rPr>
          <w:rFonts w:ascii="Times New Roman" w:cs="Times New Roman" w:eastAsia="Times New Roman" w:hAnsi="Times New Roman"/>
          <w:sz w:val="20"/>
          <w:szCs w:val="20"/>
          <w:color w:val="auto"/>
        </w:rPr>
      </w:pPr>
    </w:p>
    <w:p>
      <w:pPr>
        <w:ind w:left="660" w:hanging="652"/>
        <w:spacing w:after="0" w:line="261" w:lineRule="auto"/>
        <w:tabs>
          <w:tab w:leader="none" w:pos="37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Loan Parties set forth in the Loan Documents are true and correct as of the date hereof, except to the extent that any such representation or warranty specifically refers to an earlier date, in which case it is true and correct only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89" w:lineRule="exact"/>
        <w:rPr>
          <w:sz w:val="20"/>
          <w:szCs w:val="20"/>
          <w:color w:val="auto"/>
        </w:rPr>
      </w:pPr>
    </w:p>
    <w:p>
      <w:pPr>
        <w:ind w:left="660" w:right="20" w:hanging="652"/>
        <w:spacing w:after="0" w:line="283" w:lineRule="auto"/>
        <w:tabs>
          <w:tab w:leader="none" w:pos="399"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attached hereto sets forth financial data and computations evidencing the Borrower’s compliance with certain covenants of the Agreement, all of which data and computations are true, complete and correct; and</w:t>
      </w:r>
    </w:p>
    <w:p>
      <w:pPr>
        <w:spacing w:after="0" w:line="146"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48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II</w:t>
      </w:r>
      <w:r>
        <w:rPr>
          <w:rFonts w:ascii="Times New Roman" w:cs="Times New Roman" w:eastAsia="Times New Roman" w:hAnsi="Times New Roman"/>
          <w:sz w:val="20"/>
          <w:szCs w:val="20"/>
          <w:color w:val="auto"/>
        </w:rPr>
        <w:t xml:space="preserve"> hereto sets forth the computations necessary to determine the Applicable Rate commencing on the Business Day this Certificate is delivered.</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Described below are the exceptions, if any, referred to in paragraph 4 hereof by listing, in detail, the (i) nature of the condition or event, the period during which it has existed and the action which the Borrower has taken, is taking, or proposes to take with respect to each such condition or event or (ii) change in the Accounting Method or the application thereof and the effect of such change on the attached financial statements: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w:t>
      </w:r>
    </w:p>
    <w:p>
      <w:pPr>
        <w:spacing w:after="0" w:line="21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 foregoing certifications, together with the computations set forth in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Schedule II</w:t>
      </w:r>
      <w:r>
        <w:rPr>
          <w:rFonts w:ascii="Times New Roman" w:cs="Times New Roman" w:eastAsia="Times New Roman" w:hAnsi="Times New Roman"/>
          <w:sz w:val="20"/>
          <w:szCs w:val="20"/>
          <w:color w:val="auto"/>
        </w:rPr>
        <w:t xml:space="preserve"> hereto and the financial statements delivered with this Certificate in support hereof, are made and delivered this day of , .</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257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-24765</wp:posOffset>
            </wp:positionV>
            <wp:extent cx="125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1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-20320</wp:posOffset>
            </wp:positionV>
            <wp:extent cx="125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Schedule I to Compliance Certificate </w:t>
      </w:r>
      <w:r>
        <w:rPr>
          <w:rFonts w:ascii="Times New Roman" w:cs="Times New Roman" w:eastAsia="Times New Roman" w:hAnsi="Times New Roman"/>
          <w:sz w:val="25"/>
          <w:szCs w:val="25"/>
          <w:color w:val="auto"/>
          <w:vertAlign w:val="superscript"/>
        </w:rPr>
        <w:t>11</w:t>
      </w:r>
    </w:p>
    <w:p>
      <w:pPr>
        <w:spacing w:after="0" w:line="17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Compliance as of the Certification Date with</w:t>
      </w:r>
    </w:p>
    <w:p>
      <w:pPr>
        <w:spacing w:after="0" w:line="2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Provisions of Section 6.12 of the Agreement</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The computations set forth in this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are designed to facilitate the calculation of financial covenants and certain other provisions in the Agreement relating to the information set forth in the Financial Statements delivered with this Certificate. The computations set forth in this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have been made in accordance with GAAP. The use of abbreviated terminology and/or descriptions in the computations below are not in any way intended to override or eliminate the more detailed descriptions for such computations set forth in the relevant provisions of the Agreement, all of which shall be deemed to control. In addition, the failure to identify any specific provisions or terms of the Agreement in this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does not in any way affect their applicability during the periods covered by such Financial Statements or otherwise, which shall in all cases be governed by the Agreement.</w:t>
      </w:r>
    </w:p>
    <w:p>
      <w:pPr>
        <w:spacing w:after="0" w:line="2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 Consolidated EBITDA for the most recently ended 4</w:t>
      </w:r>
    </w:p>
    <w:p>
      <w:pPr>
        <w:ind w:left="80"/>
        <w:spacing w:after="0"/>
        <w:rPr>
          <w:sz w:val="20"/>
          <w:szCs w:val="20"/>
          <w:color w:val="auto"/>
        </w:rPr>
      </w:pPr>
      <w:r>
        <w:rPr>
          <w:rFonts w:ascii="Times New Roman" w:cs="Times New Roman" w:eastAsia="Times New Roman" w:hAnsi="Times New Roman"/>
          <w:sz w:val="20"/>
          <w:szCs w:val="20"/>
          <w:color w:val="auto"/>
        </w:rPr>
        <w:t>fiscal quarters</w:t>
      </w:r>
    </w:p>
    <w:p>
      <w:pPr>
        <w:spacing w:after="0" w:line="200" w:lineRule="exact"/>
        <w:rPr>
          <w:sz w:val="20"/>
          <w:szCs w:val="20"/>
          <w:color w:val="auto"/>
        </w:rPr>
      </w:pPr>
    </w:p>
    <w:p>
      <w:pPr>
        <w:spacing w:after="0" w:line="2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With reference to any period:</w:t>
      </w:r>
    </w:p>
    <w:p>
      <w:pPr>
        <w:spacing w:after="0" w:line="200" w:lineRule="exact"/>
        <w:rPr>
          <w:sz w:val="20"/>
          <w:szCs w:val="20"/>
          <w:color w:val="auto"/>
        </w:rPr>
      </w:pPr>
    </w:p>
    <w:p>
      <w:pPr>
        <w:spacing w:after="0" w:line="313" w:lineRule="exact"/>
        <w:rPr>
          <w:sz w:val="20"/>
          <w:szCs w:val="20"/>
          <w:color w:val="auto"/>
        </w:rPr>
      </w:pPr>
    </w:p>
    <w:p>
      <w:pPr>
        <w:ind w:left="1640"/>
        <w:spacing w:after="0"/>
        <w:tabs>
          <w:tab w:leader="none" w:pos="9860" w:val="left"/>
        </w:tabs>
        <w:rPr>
          <w:sz w:val="20"/>
          <w:szCs w:val="20"/>
          <w:color w:val="auto"/>
        </w:rPr>
      </w:pPr>
      <w:r>
        <w:rPr>
          <w:rFonts w:ascii="Times New Roman" w:cs="Times New Roman" w:eastAsia="Times New Roman" w:hAnsi="Times New Roman"/>
          <w:sz w:val="20"/>
          <w:szCs w:val="20"/>
          <w:color w:val="auto"/>
        </w:rPr>
        <w:t>(i) Consolidated Net Income for such period</w:t>
      </w:r>
      <w:r>
        <w:rPr>
          <w:sz w:val="20"/>
          <w:szCs w:val="20"/>
          <w:color w:val="auto"/>
        </w:rPr>
        <w:tab/>
      </w:r>
      <w:r>
        <w:rPr>
          <w:rFonts w:ascii="Times New Roman" w:cs="Times New Roman" w:eastAsia="Times New Roman" w:hAnsi="Times New Roman"/>
          <w:sz w:val="20"/>
          <w:szCs w:val="20"/>
          <w:color w:val="auto"/>
        </w:rPr>
        <w:t>$____________</w:t>
      </w:r>
    </w:p>
    <w:p>
      <w:pPr>
        <w:spacing w:after="0" w:line="200" w:lineRule="exact"/>
        <w:rPr>
          <w:sz w:val="20"/>
          <w:szCs w:val="20"/>
          <w:color w:val="auto"/>
        </w:rPr>
      </w:pPr>
    </w:p>
    <w:p>
      <w:pPr>
        <w:spacing w:after="0" w:line="326" w:lineRule="exact"/>
        <w:rPr>
          <w:sz w:val="20"/>
          <w:szCs w:val="20"/>
          <w:color w:val="auto"/>
        </w:rPr>
      </w:pPr>
    </w:p>
    <w:p>
      <w:pPr>
        <w:ind w:left="1680" w:right="2640"/>
        <w:spacing w:after="0" w:line="283" w:lineRule="auto"/>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without duplication and to the extent deducted in determining Consolidated Net Income for such period,</w:t>
      </w:r>
    </w:p>
    <w:p>
      <w:pPr>
        <w:spacing w:after="0" w:line="349" w:lineRule="exact"/>
        <w:rPr>
          <w:sz w:val="20"/>
          <w:szCs w:val="20"/>
          <w:color w:val="auto"/>
        </w:rPr>
      </w:pPr>
    </w:p>
    <w:p>
      <w:pPr>
        <w:ind w:left="1640"/>
        <w:spacing w:after="0"/>
        <w:tabs>
          <w:tab w:leader="none" w:pos="9700" w:val="left"/>
        </w:tabs>
        <w:rPr>
          <w:sz w:val="20"/>
          <w:szCs w:val="20"/>
          <w:color w:val="auto"/>
        </w:rPr>
      </w:pPr>
      <w:r>
        <w:rPr>
          <w:rFonts w:ascii="Times New Roman" w:cs="Times New Roman" w:eastAsia="Times New Roman" w:hAnsi="Times New Roman"/>
          <w:sz w:val="20"/>
          <w:szCs w:val="20"/>
          <w:color w:val="auto"/>
        </w:rPr>
        <w:t>(ii) Consolidated Interest Expense for such period</w:t>
      </w:r>
      <w:r>
        <w:rPr>
          <w:sz w:val="20"/>
          <w:szCs w:val="20"/>
          <w:color w:val="auto"/>
        </w:rPr>
        <w:tab/>
      </w:r>
      <w:r>
        <w:rPr>
          <w:rFonts w:ascii="Times New Roman" w:cs="Times New Roman" w:eastAsia="Times New Roman" w:hAnsi="Times New Roman"/>
          <w:sz w:val="19"/>
          <w:szCs w:val="19"/>
          <w:color w:val="auto"/>
        </w:rPr>
        <w:t>+ $____________</w:t>
      </w:r>
    </w:p>
    <w:p>
      <w:pPr>
        <w:spacing w:after="0" w:line="200" w:lineRule="exact"/>
        <w:rPr>
          <w:sz w:val="20"/>
          <w:szCs w:val="20"/>
          <w:color w:val="auto"/>
        </w:rPr>
      </w:pPr>
    </w:p>
    <w:p>
      <w:pPr>
        <w:spacing w:after="0" w:line="313" w:lineRule="exact"/>
        <w:rPr>
          <w:sz w:val="20"/>
          <w:szCs w:val="20"/>
          <w:color w:val="auto"/>
        </w:rPr>
      </w:pPr>
    </w:p>
    <w:p>
      <w:pPr>
        <w:jc w:val="both"/>
        <w:ind w:left="1640" w:right="2640" w:hanging="8"/>
        <w:spacing w:after="0" w:line="226" w:lineRule="auto"/>
        <w:tabs>
          <w:tab w:leader="none" w:pos="201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expense based on income, profits or capital, including federal, foreign, state, franchise and similar taxes (and for the avoidance of doubt, specifically excluding any sales taxes or any other taxes held in trust for a Governmental Authority) for such</w:t>
      </w:r>
    </w:p>
    <w:p>
      <w:pPr>
        <w:sectPr>
          <w:pgSz w:w="11900" w:h="16838" w:orient="portrait"/>
          <w:cols w:equalWidth="0" w:num="1">
            <w:col w:w="11240"/>
          </w:cols>
          <w:pgMar w:left="320" w:top="1440" w:right="339" w:bottom="1440" w:gutter="0" w:footer="0" w:header="0"/>
        </w:sectPr>
      </w:pPr>
    </w:p>
    <w:p>
      <w:pPr>
        <w:ind w:left="1640"/>
        <w:spacing w:after="0" w:line="222" w:lineRule="auto"/>
        <w:rPr>
          <w:sz w:val="20"/>
          <w:szCs w:val="20"/>
          <w:color w:val="auto"/>
        </w:rPr>
      </w:pPr>
      <w:r>
        <w:rPr>
          <w:rFonts w:ascii="Times New Roman" w:cs="Times New Roman" w:eastAsia="Times New Roman" w:hAnsi="Times New Roman"/>
          <w:sz w:val="19"/>
          <w:szCs w:val="19"/>
          <w:color w:val="auto"/>
        </w:rPr>
        <w:t>period net of tax refunds for such taxes for such period</w:t>
      </w:r>
    </w:p>
    <w:p>
      <w:pPr>
        <w:spacing w:after="0" w:line="20" w:lineRule="exact"/>
        <w:rPr>
          <w:sz w:val="20"/>
          <w:szCs w:val="20"/>
          <w:color w:val="auto"/>
        </w:rPr>
      </w:pPr>
      <w:r>
        <w:rPr>
          <w:sz w:val="20"/>
          <w:szCs w:val="20"/>
          <w:color w:val="auto"/>
        </w:rPr>
        <w:br w:type="column"/>
      </w:r>
    </w:p>
    <w:p>
      <w:pPr>
        <w:spacing w:after="0" w:line="222" w:lineRule="auto"/>
        <w:rPr>
          <w:sz w:val="20"/>
          <w:szCs w:val="20"/>
          <w:color w:val="auto"/>
        </w:rPr>
      </w:pPr>
      <w:r>
        <w:rPr>
          <w:rFonts w:ascii="Times New Roman" w:cs="Times New Roman" w:eastAsia="Times New Roman" w:hAnsi="Times New Roman"/>
          <w:sz w:val="19"/>
          <w:szCs w:val="19"/>
          <w:color w:val="auto"/>
        </w:rPr>
        <w:t>+ $____________</w:t>
      </w:r>
    </w:p>
    <w:p>
      <w:pPr>
        <w:spacing w:after="0" w:line="200" w:lineRule="exact"/>
        <w:rPr>
          <w:sz w:val="20"/>
          <w:szCs w:val="20"/>
          <w:color w:val="auto"/>
        </w:rPr>
      </w:pPr>
    </w:p>
    <w:p>
      <w:pPr>
        <w:sectPr>
          <w:pgSz w:w="11900" w:h="16838" w:orient="portrait"/>
          <w:cols w:equalWidth="0" w:num="2">
            <w:col w:w="9000" w:space="720"/>
            <w:col w:w="1520"/>
          </w:cols>
          <w:pgMar w:left="320" w:top="1440" w:right="339" w:bottom="1440" w:gutter="0" w:footer="0" w:header="0"/>
          <w:type w:val="continuous"/>
        </w:sectPr>
      </w:pPr>
    </w:p>
    <w:p>
      <w:pPr>
        <w:spacing w:after="0" w:line="28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9"/>
          <w:szCs w:val="19"/>
          <w:color w:val="auto"/>
        </w:rPr>
        <w:t>(iv) all amounts attributable to depreciation and amortization expense for such period</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$____________</w:t>
      </w:r>
    </w:p>
    <w:p>
      <w:pPr>
        <w:spacing w:after="0" w:line="200" w:lineRule="exact"/>
        <w:rPr>
          <w:sz w:val="20"/>
          <w:szCs w:val="20"/>
          <w:color w:val="auto"/>
        </w:rPr>
      </w:pPr>
    </w:p>
    <w:p>
      <w:pPr>
        <w:sectPr>
          <w:pgSz w:w="11900" w:h="16838" w:orient="portrait"/>
          <w:cols w:equalWidth="0" w:num="2">
            <w:col w:w="9000" w:space="720"/>
            <w:col w:w="1520"/>
          </w:cols>
          <w:pgMar w:left="320" w:top="1440" w:right="339" w:bottom="1440" w:gutter="0" w:footer="0" w:header="0"/>
          <w:type w:val="continuous"/>
        </w:sectPr>
      </w:pPr>
    </w:p>
    <w:p>
      <w:pPr>
        <w:spacing w:after="0" w:line="338" w:lineRule="exact"/>
        <w:rPr>
          <w:sz w:val="20"/>
          <w:szCs w:val="20"/>
          <w:color w:val="auto"/>
        </w:rPr>
      </w:pPr>
    </w:p>
    <w:p>
      <w:pPr>
        <w:jc w:val="both"/>
        <w:ind w:left="1680" w:right="400"/>
        <w:spacing w:after="0" w:line="261" w:lineRule="auto"/>
        <w:rPr>
          <w:sz w:val="20"/>
          <w:szCs w:val="20"/>
          <w:color w:val="auto"/>
        </w:rPr>
      </w:pPr>
      <w:r>
        <w:rPr>
          <w:rFonts w:ascii="Times New Roman" w:cs="Times New Roman" w:eastAsia="Times New Roman" w:hAnsi="Times New Roman"/>
          <w:sz w:val="20"/>
          <w:szCs w:val="20"/>
          <w:color w:val="auto"/>
        </w:rPr>
        <w:t>(v) any extraordinary, unusual or non-recurring non-cash charges, expenses or losses for such period (but excluding any non-cash charge in respect of an item that was included in Consolidated Net Income in a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16459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$____________</w:t>
      </w:r>
    </w:p>
    <w:p>
      <w:pPr>
        <w:spacing w:after="0" w:line="259" w:lineRule="exact"/>
        <w:rPr>
          <w:sz w:val="20"/>
          <w:szCs w:val="20"/>
          <w:color w:val="auto"/>
        </w:rPr>
      </w:pPr>
    </w:p>
    <w:p>
      <w:pPr>
        <w:sectPr>
          <w:pgSz w:w="11900" w:h="16838" w:orient="portrait"/>
          <w:cols w:equalWidth="0" w:num="2">
            <w:col w:w="9000" w:space="720"/>
            <w:col w:w="1520"/>
          </w:cols>
          <w:pgMar w:left="320" w:top="1440"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60" w:hanging="152"/>
        <w:spacing w:after="0"/>
        <w:tabs>
          <w:tab w:leader="none" w:pos="160" w:val="left"/>
        </w:tabs>
        <w:numPr>
          <w:ilvl w:val="0"/>
          <w:numId w:val="19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NTD: Calculations to be updated to reflect final agreed terms.</w:t>
      </w:r>
    </w:p>
    <w:p>
      <w:pPr>
        <w:sectPr>
          <w:pgSz w:w="11900" w:h="16838" w:orient="portrait"/>
          <w:cols w:equalWidth="0" w:num="1">
            <w:col w:w="11240"/>
          </w:cols>
          <w:pgMar w:left="320" w:top="1440" w:right="339" w:bottom="1440" w:gutter="0" w:footer="0" w:header="0"/>
          <w:type w:val="continuous"/>
        </w:sectPr>
      </w:pPr>
    </w:p>
    <w:bookmarkStart w:id="155" w:name="page156"/>
    <w:bookmarkEnd w:id="155"/>
    <w:p>
      <w:pPr>
        <w:spacing w:after="0" w:line="230" w:lineRule="exact"/>
        <w:rPr>
          <w:sz w:val="20"/>
          <w:szCs w:val="20"/>
          <w:color w:val="auto"/>
        </w:rPr>
      </w:pPr>
    </w:p>
    <w:p>
      <w:pPr>
        <w:ind w:left="520" w:right="405" w:hanging="8"/>
        <w:spacing w:after="0"/>
        <w:tabs>
          <w:tab w:leader="none" w:pos="943"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extraordinary, unusual or non-recurring cash charges for such period (“Specified Cash Charges”)</w:t>
      </w:r>
    </w:p>
    <w:p>
      <w:pPr>
        <w:spacing w:after="0" w:line="200" w:lineRule="exact"/>
        <w:rPr>
          <w:rFonts w:ascii="Times New Roman" w:cs="Times New Roman" w:eastAsia="Times New Roman" w:hAnsi="Times New Roman"/>
          <w:sz w:val="20"/>
          <w:szCs w:val="20"/>
          <w:color w:val="auto"/>
        </w:rPr>
      </w:pPr>
    </w:p>
    <w:p>
      <w:pPr>
        <w:spacing w:after="0" w:line="271" w:lineRule="exact"/>
        <w:rPr>
          <w:rFonts w:ascii="Times New Roman" w:cs="Times New Roman" w:eastAsia="Times New Roman" w:hAnsi="Times New Roman"/>
          <w:sz w:val="20"/>
          <w:szCs w:val="20"/>
          <w:color w:val="auto"/>
        </w:rPr>
      </w:pPr>
    </w:p>
    <w:p>
      <w:pPr>
        <w:ind w:left="520" w:right="405" w:hanging="8"/>
        <w:spacing w:after="0"/>
        <w:tabs>
          <w:tab w:leader="none" w:pos="911"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proceeds of business interruption insurance to the extent not already included in Consolidated Net Income and actually received during such period</w:t>
      </w:r>
    </w:p>
    <w:p>
      <w:pPr>
        <w:spacing w:after="0" w:line="200" w:lineRule="exact"/>
        <w:rPr>
          <w:rFonts w:ascii="Times New Roman" w:cs="Times New Roman" w:eastAsia="Times New Roman" w:hAnsi="Times New Roman"/>
          <w:sz w:val="20"/>
          <w:szCs w:val="20"/>
          <w:color w:val="auto"/>
        </w:rPr>
      </w:pPr>
    </w:p>
    <w:p>
      <w:pPr>
        <w:spacing w:after="0" w:line="285" w:lineRule="exact"/>
        <w:rPr>
          <w:rFonts w:ascii="Times New Roman" w:cs="Times New Roman" w:eastAsia="Times New Roman" w:hAnsi="Times New Roman"/>
          <w:sz w:val="20"/>
          <w:szCs w:val="20"/>
          <w:color w:val="auto"/>
        </w:rPr>
      </w:pPr>
    </w:p>
    <w:p>
      <w:pPr>
        <w:jc w:val="both"/>
        <w:ind w:left="560" w:right="405" w:firstLine="2"/>
        <w:spacing w:after="0" w:line="251" w:lineRule="auto"/>
        <w:tabs>
          <w:tab w:leader="none" w:pos="1019"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documented expenses, charges and fees in connection with any of the following which are attempted during such period, whether or not consummated: (A) any Permitted Acquisition and any related debt or equity offering undertaken in connection therewith, (B) the issuance of Equity Interests, (C) any investments not prohibited under the Loan Documents, (D) the incurrence, refinancing, amendment or modification of any Indebtedness (including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amounts added back pursuant to this item (viii) shall be limited to $10,000,000 for any transaction (or series of related transactions) that is not consummated</w:t>
      </w:r>
    </w:p>
    <w:p>
      <w:pPr>
        <w:spacing w:after="0" w:line="398" w:lineRule="exact"/>
        <w:rPr>
          <w:sz w:val="20"/>
          <w:szCs w:val="20"/>
          <w:color w:val="auto"/>
        </w:rPr>
      </w:pPr>
    </w:p>
    <w:p>
      <w:pPr>
        <w:ind w:left="840" w:hanging="328"/>
        <w:spacing w:after="0"/>
        <w:tabs>
          <w:tab w:leader="none" w:pos="84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unrealized losses (net of gains) on financial derivatives during such period</w:t>
      </w:r>
    </w:p>
    <w:p>
      <w:pPr>
        <w:spacing w:after="0" w:line="200" w:lineRule="exact"/>
        <w:rPr>
          <w:rFonts w:ascii="Times New Roman" w:cs="Times New Roman" w:eastAsia="Times New Roman" w:hAnsi="Times New Roman"/>
          <w:sz w:val="20"/>
          <w:szCs w:val="20"/>
          <w:color w:val="auto"/>
        </w:rPr>
      </w:pPr>
    </w:p>
    <w:p>
      <w:pPr>
        <w:spacing w:after="0" w:line="312" w:lineRule="exact"/>
        <w:rPr>
          <w:rFonts w:ascii="Times New Roman" w:cs="Times New Roman" w:eastAsia="Times New Roman" w:hAnsi="Times New Roman"/>
          <w:sz w:val="20"/>
          <w:szCs w:val="20"/>
          <w:color w:val="auto"/>
        </w:rPr>
      </w:pPr>
    </w:p>
    <w:p>
      <w:pPr>
        <w:jc w:val="both"/>
        <w:ind w:left="520" w:right="405" w:hanging="8"/>
        <w:spacing w:after="0" w:line="226" w:lineRule="auto"/>
        <w:tabs>
          <w:tab w:leader="none" w:pos="802"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write-off or amortization made in such period of deferred financing costs or any write-downs of intangible assets or intangible asset value carried on the balance sheet of the Borrower or any Subsidiary during such period</w:t>
      </w:r>
    </w:p>
    <w:p>
      <w:pPr>
        <w:spacing w:after="0" w:line="200" w:lineRule="exact"/>
        <w:rPr>
          <w:rFonts w:ascii="Times New Roman" w:cs="Times New Roman" w:eastAsia="Times New Roman" w:hAnsi="Times New Roman"/>
          <w:sz w:val="20"/>
          <w:szCs w:val="20"/>
          <w:color w:val="auto"/>
        </w:rPr>
      </w:pPr>
    </w:p>
    <w:p>
      <w:pPr>
        <w:spacing w:after="0" w:line="284" w:lineRule="exact"/>
        <w:rPr>
          <w:rFonts w:ascii="Times New Roman" w:cs="Times New Roman" w:eastAsia="Times New Roman" w:hAnsi="Times New Roman"/>
          <w:sz w:val="20"/>
          <w:szCs w:val="20"/>
          <w:color w:val="auto"/>
        </w:rPr>
      </w:pPr>
    </w:p>
    <w:p>
      <w:pPr>
        <w:ind w:left="840" w:hanging="328"/>
        <w:spacing w:after="0"/>
        <w:tabs>
          <w:tab w:leader="none" w:pos="84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losses during such period from discontinued operations or product lines</w:t>
      </w:r>
    </w:p>
    <w:p>
      <w:pPr>
        <w:spacing w:after="0" w:line="200" w:lineRule="exact"/>
        <w:rPr>
          <w:rFonts w:ascii="Times New Roman" w:cs="Times New Roman" w:eastAsia="Times New Roman" w:hAnsi="Times New Roman"/>
          <w:sz w:val="20"/>
          <w:szCs w:val="20"/>
          <w:color w:val="auto"/>
        </w:rPr>
      </w:pPr>
    </w:p>
    <w:p>
      <w:pPr>
        <w:spacing w:after="0" w:line="312" w:lineRule="exact"/>
        <w:rPr>
          <w:rFonts w:ascii="Times New Roman" w:cs="Times New Roman" w:eastAsia="Times New Roman" w:hAnsi="Times New Roman"/>
          <w:sz w:val="20"/>
          <w:szCs w:val="20"/>
          <w:color w:val="auto"/>
        </w:rPr>
      </w:pPr>
    </w:p>
    <w:p>
      <w:pPr>
        <w:ind w:left="520" w:right="405" w:hanging="8"/>
        <w:spacing w:after="0"/>
        <w:tabs>
          <w:tab w:leader="none" w:pos="961"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translation losses (net of foreign currency translation gains) during such period</w:t>
      </w:r>
    </w:p>
    <w:p>
      <w:pPr>
        <w:spacing w:after="0" w:line="200" w:lineRule="exact"/>
        <w:rPr>
          <w:sz w:val="20"/>
          <w:szCs w:val="20"/>
          <w:color w:val="auto"/>
        </w:rPr>
      </w:pPr>
    </w:p>
    <w:p>
      <w:pPr>
        <w:spacing w:after="0" w:line="285" w:lineRule="exact"/>
        <w:rPr>
          <w:sz w:val="20"/>
          <w:szCs w:val="20"/>
          <w:color w:val="auto"/>
        </w:rPr>
      </w:pPr>
    </w:p>
    <w:p>
      <w:pPr>
        <w:ind w:left="560" w:right="405" w:firstLine="2"/>
        <w:spacing w:after="0" w:line="283" w:lineRule="auto"/>
        <w:tabs>
          <w:tab w:leader="none" w:pos="115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restructuring charges incurred during such period (collectively, “</w:t>
      </w:r>
      <w:r>
        <w:rPr>
          <w:rFonts w:ascii="Times New Roman" w:cs="Times New Roman" w:eastAsia="Times New Roman" w:hAnsi="Times New Roman"/>
          <w:sz w:val="20"/>
          <w:szCs w:val="20"/>
          <w:u w:val="single" w:color="auto"/>
          <w:color w:val="auto"/>
        </w:rPr>
        <w:t>Restructuring Charges</w:t>
      </w:r>
      <w:r>
        <w:rPr>
          <w:rFonts w:ascii="Times New Roman" w:cs="Times New Roman" w:eastAsia="Times New Roman" w:hAnsi="Times New Roman"/>
          <w:sz w:val="20"/>
          <w:szCs w:val="20"/>
          <w:color w:val="auto"/>
        </w:rPr>
        <w:t>”)</w:t>
      </w:r>
    </w:p>
    <w:p>
      <w:pPr>
        <w:spacing w:after="0" w:line="348" w:lineRule="exact"/>
        <w:rPr>
          <w:rFonts w:ascii="Times New Roman" w:cs="Times New Roman" w:eastAsia="Times New Roman" w:hAnsi="Times New Roman"/>
          <w:sz w:val="20"/>
          <w:szCs w:val="20"/>
          <w:color w:val="auto"/>
        </w:rPr>
      </w:pPr>
    </w:p>
    <w:p>
      <w:pPr>
        <w:jc w:val="both"/>
        <w:ind w:left="520" w:right="405" w:hanging="8"/>
        <w:spacing w:after="0" w:line="226" w:lineRule="auto"/>
        <w:tabs>
          <w:tab w:leader="none" w:pos="965"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compensation expenses during such period, including as a result of any grant of equity or options to employees, officers, directors or contractors during such period:</w:t>
      </w:r>
    </w:p>
    <w:p>
      <w:pPr>
        <w:spacing w:after="0" w:line="200" w:lineRule="exact"/>
        <w:rPr>
          <w:rFonts w:ascii="Times New Roman" w:cs="Times New Roman" w:eastAsia="Times New Roman" w:hAnsi="Times New Roman"/>
          <w:sz w:val="20"/>
          <w:szCs w:val="20"/>
          <w:color w:val="auto"/>
        </w:rPr>
      </w:pPr>
    </w:p>
    <w:p>
      <w:pPr>
        <w:spacing w:after="0" w:line="297" w:lineRule="exact"/>
        <w:rPr>
          <w:rFonts w:ascii="Times New Roman" w:cs="Times New Roman" w:eastAsia="Times New Roman" w:hAnsi="Times New Roman"/>
          <w:sz w:val="20"/>
          <w:szCs w:val="20"/>
          <w:color w:val="auto"/>
        </w:rPr>
      </w:pPr>
    </w:p>
    <w:p>
      <w:pPr>
        <w:jc w:val="both"/>
        <w:ind w:left="560" w:right="405" w:firstLine="2"/>
        <w:spacing w:after="0" w:line="251" w:lineRule="auto"/>
        <w:tabs>
          <w:tab w:leader="none" w:pos="1023"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expected “run rate” cost savings and cost synergies (collectively, “</w:t>
      </w:r>
      <w:r>
        <w:rPr>
          <w:rFonts w:ascii="Times New Roman" w:cs="Times New Roman" w:eastAsia="Times New Roman" w:hAnsi="Times New Roman"/>
          <w:sz w:val="20"/>
          <w:szCs w:val="20"/>
          <w:u w:val="single" w:color="auto"/>
          <w:color w:val="auto"/>
        </w:rPr>
        <w:t>Expected Cost Savings</w:t>
      </w:r>
      <w:r>
        <w:rPr>
          <w:rFonts w:ascii="Times New Roman" w:cs="Times New Roman" w:eastAsia="Times New Roman" w:hAnsi="Times New Roman"/>
          <w:sz w:val="20"/>
          <w:szCs w:val="20"/>
          <w:color w:val="auto"/>
        </w:rPr>
        <w:t xml:space="preserve">”) (net of actual amounts realized) during such period that are reasonably identifiable, factually supportable and projected in the good faith determination of the Borrower related to any acquisition, disposition, restructuring or cost savings initiative, and reasonably anticipated to result from such 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Expected Cost Savings are expected by the Borrower in good faith to be realized within 18 months of the consummation of the event giving rise thereto as a result of specified actions taken or committed to be taken and (B) the aggregate amount of any Specified Cash Charges, Restructuring Charges and Expected Cost Savings shall not exceed 25% of Consolidated EBITDA for the relevant period (calculated prior to giving effect to such Specified Cash Charges, Restructuring Charges and Expected Cost Savings)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155" w:hanging="155"/>
        <w:spacing w:after="0"/>
        <w:tabs>
          <w:tab w:leader="none" w:pos="155"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$____________</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01" w:lineRule="exact"/>
        <w:rPr>
          <w:rFonts w:ascii="Times New Roman" w:cs="Times New Roman" w:eastAsia="Times New Roman" w:hAnsi="Times New Roman"/>
          <w:sz w:val="20"/>
          <w:szCs w:val="20"/>
          <w:color w:val="auto"/>
        </w:rPr>
      </w:pPr>
    </w:p>
    <w:p>
      <w:pPr>
        <w:ind w:left="155" w:hanging="155"/>
        <w:spacing w:after="0"/>
        <w:tabs>
          <w:tab w:leader="none" w:pos="155"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55" w:hanging="155"/>
        <w:spacing w:after="0"/>
        <w:tabs>
          <w:tab w:leader="none" w:pos="15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$____________</w:t>
      </w:r>
    </w:p>
    <w:p>
      <w:pPr>
        <w:spacing w:after="0" w:line="200" w:lineRule="exact"/>
        <w:rPr>
          <w:rFonts w:ascii="Times New Roman" w:cs="Times New Roman" w:eastAsia="Times New Roman" w:hAnsi="Times New Roman"/>
          <w:sz w:val="20"/>
          <w:szCs w:val="20"/>
          <w:color w:val="auto"/>
        </w:rPr>
      </w:pPr>
    </w:p>
    <w:p>
      <w:pPr>
        <w:spacing w:after="0" w:line="312" w:lineRule="exact"/>
        <w:rPr>
          <w:rFonts w:ascii="Times New Roman" w:cs="Times New Roman" w:eastAsia="Times New Roman" w:hAnsi="Times New Roman"/>
          <w:sz w:val="20"/>
          <w:szCs w:val="20"/>
          <w:color w:val="auto"/>
        </w:rPr>
      </w:pPr>
    </w:p>
    <w:p>
      <w:pPr>
        <w:ind w:left="155" w:hanging="155"/>
        <w:spacing w:after="0"/>
        <w:tabs>
          <w:tab w:leader="none" w:pos="15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9"/>
          <w:szCs w:val="19"/>
          <w:color w:val="auto"/>
        </w:rPr>
        <w:t>+$____________</w:t>
      </w:r>
    </w:p>
    <w:p>
      <w:pPr>
        <w:spacing w:after="0" w:line="200" w:lineRule="exact"/>
        <w:rPr>
          <w:sz w:val="20"/>
          <w:szCs w:val="20"/>
          <w:color w:val="auto"/>
        </w:rPr>
      </w:pPr>
    </w:p>
    <w:p>
      <w:pPr>
        <w:spacing w:after="0" w:line="324"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9"/>
          <w:szCs w:val="19"/>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9"/>
          <w:szCs w:val="19"/>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9"/>
          <w:szCs w:val="19"/>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9"/>
          <w:szCs w:val="19"/>
          <w:color w:val="auto"/>
        </w:rPr>
        <w:t>+$____________</w:t>
      </w:r>
    </w:p>
    <w:p>
      <w:pPr>
        <w:spacing w:after="0" w:line="3623" w:lineRule="exact"/>
        <w:rPr>
          <w:sz w:val="20"/>
          <w:szCs w:val="20"/>
          <w:color w:val="auto"/>
        </w:rPr>
      </w:pPr>
    </w:p>
    <w:p>
      <w:pPr>
        <w:sectPr>
          <w:pgSz w:w="11900" w:h="16838" w:orient="portrait"/>
          <w:cols w:equalWidth="0" w:num="2">
            <w:col w:w="7885" w:space="720"/>
            <w:col w:w="1455"/>
          </w:cols>
          <w:pgMar w:left="1440" w:top="1440" w:right="399" w:bottom="1075" w:gutter="0" w:footer="0" w:header="0"/>
        </w:sectPr>
      </w:pPr>
    </w:p>
    <w:p>
      <w:pPr>
        <w:spacing w:after="0" w:line="200" w:lineRule="exact"/>
        <w:rPr>
          <w:sz w:val="20"/>
          <w:szCs w:val="20"/>
          <w:color w:val="auto"/>
        </w:rPr>
      </w:pPr>
    </w:p>
    <w:p>
      <w:pPr>
        <w:spacing w:after="0" w:line="224"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9"/>
          <w:szCs w:val="19"/>
          <w:color w:val="auto"/>
        </w:rPr>
        <w:t>+$____________</w:t>
      </w:r>
    </w:p>
    <w:p>
      <w:pPr>
        <w:sectPr>
          <w:pgSz w:w="11900" w:h="16838" w:orient="portrait"/>
          <w:cols w:equalWidth="0" w:num="1">
            <w:col w:w="10060"/>
          </w:cols>
          <w:pgMar w:left="1440" w:top="1440" w:right="399" w:bottom="1075" w:gutter="0" w:footer="0" w:header="0"/>
          <w:type w:val="continuous"/>
        </w:sectPr>
      </w:pPr>
    </w:p>
    <w:bookmarkStart w:id="156" w:name="page157"/>
    <w:bookmarkEnd w:id="15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p>
      <w:pPr>
        <w:spacing w:after="0" w:line="243" w:lineRule="exact"/>
        <w:rPr>
          <w:sz w:val="20"/>
          <w:szCs w:val="20"/>
          <w:color w:val="auto"/>
        </w:rPr>
      </w:pPr>
    </w:p>
    <w:p>
      <w:pPr>
        <w:ind w:left="1692" w:right="340"/>
        <w:spacing w:after="0" w:line="283" w:lineRule="auto"/>
        <w:rPr>
          <w:sz w:val="20"/>
          <w:szCs w:val="20"/>
          <w:color w:val="auto"/>
        </w:rPr>
      </w:pP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without duplication and to the extent included in determining Consolidated Net Income for such period,</w:t>
      </w:r>
    </w:p>
    <w:p>
      <w:pPr>
        <w:spacing w:after="0" w:line="362" w:lineRule="exact"/>
        <w:rPr>
          <w:sz w:val="20"/>
          <w:szCs w:val="20"/>
          <w:color w:val="auto"/>
        </w:rPr>
      </w:pPr>
    </w:p>
    <w:p>
      <w:pPr>
        <w:ind w:left="1692" w:right="580" w:hanging="4"/>
        <w:spacing w:after="0" w:line="283" w:lineRule="auto"/>
        <w:tabs>
          <w:tab w:leader="none" w:pos="2126"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extraordinary, unusual or non-recurring gains or other items of income for such period</w:t>
      </w:r>
    </w:p>
    <w:p>
      <w:pPr>
        <w:spacing w:after="0" w:line="348" w:lineRule="exact"/>
        <w:rPr>
          <w:rFonts w:ascii="Times New Roman" w:cs="Times New Roman" w:eastAsia="Times New Roman" w:hAnsi="Times New Roman"/>
          <w:sz w:val="20"/>
          <w:szCs w:val="20"/>
          <w:color w:val="auto"/>
        </w:rPr>
      </w:pPr>
    </w:p>
    <w:p>
      <w:pPr>
        <w:ind w:left="2172" w:hanging="484"/>
        <w:spacing w:after="0"/>
        <w:tabs>
          <w:tab w:leader="none" w:pos="2172"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EBITDA (aggregate of A.(i) through A.(xvi))</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96" w:lineRule="exact"/>
        <w:rPr>
          <w:rFonts w:ascii="Times New Roman" w:cs="Times New Roman" w:eastAsia="Times New Roman" w:hAnsi="Times New Roman"/>
          <w:sz w:val="20"/>
          <w:szCs w:val="20"/>
          <w:color w:val="auto"/>
        </w:rPr>
      </w:pPr>
    </w:p>
    <w:p>
      <w:pPr>
        <w:ind w:left="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Maximum Net Leverage Ratio (Section 6.12(a))</w:t>
      </w:r>
    </w:p>
    <w:p>
      <w:pPr>
        <w:spacing w:after="0" w:line="242" w:lineRule="exact"/>
        <w:rPr>
          <w:rFonts w:ascii="Times New Roman" w:cs="Times New Roman" w:eastAsia="Times New Roman" w:hAnsi="Times New Roman"/>
          <w:sz w:val="20"/>
          <w:szCs w:val="20"/>
          <w:color w:val="auto"/>
        </w:rPr>
      </w:pPr>
    </w:p>
    <w:p>
      <w:pPr>
        <w:ind w:left="1932" w:hanging="244"/>
        <w:spacing w:after="0"/>
        <w:tabs>
          <w:tab w:leader="none" w:pos="1932"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Total Indebtedness as of the Certification Date</w:t>
      </w:r>
    </w:p>
    <w:p>
      <w:pPr>
        <w:spacing w:after="0" w:line="200" w:lineRule="exact"/>
        <w:rPr>
          <w:rFonts w:ascii="Times New Roman" w:cs="Times New Roman" w:eastAsia="Times New Roman" w:hAnsi="Times New Roman"/>
          <w:sz w:val="20"/>
          <w:szCs w:val="20"/>
          <w:color w:val="auto"/>
        </w:rPr>
      </w:pPr>
    </w:p>
    <w:p>
      <w:pPr>
        <w:spacing w:after="0" w:line="312" w:lineRule="exact"/>
        <w:rPr>
          <w:rFonts w:ascii="Times New Roman" w:cs="Times New Roman" w:eastAsia="Times New Roman" w:hAnsi="Times New Roman"/>
          <w:sz w:val="20"/>
          <w:szCs w:val="20"/>
          <w:color w:val="auto"/>
        </w:rPr>
      </w:pPr>
    </w:p>
    <w:p>
      <w:pPr>
        <w:ind w:left="1692" w:right="260" w:hanging="4"/>
        <w:spacing w:after="0" w:line="261" w:lineRule="auto"/>
        <w:tabs>
          <w:tab w:leader="none" w:pos="1983"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unrestricted cash and Cash Equivalents of Borrower and its Subsidiaries as of the Certification Date</w:t>
      </w:r>
      <w:r>
        <w:rPr>
          <w:rFonts w:ascii="Times New Roman" w:cs="Times New Roman" w:eastAsia="Times New Roman" w:hAnsi="Times New Roman"/>
          <w:sz w:val="25"/>
          <w:szCs w:val="25"/>
          <w:color w:val="auto"/>
          <w:vertAlign w:val="superscript"/>
        </w:rPr>
        <w:t>12</w:t>
      </w:r>
    </w:p>
    <w:p>
      <w:pPr>
        <w:spacing w:after="0" w:line="200" w:lineRule="exact"/>
        <w:rPr>
          <w:rFonts w:ascii="Times New Roman" w:cs="Times New Roman" w:eastAsia="Times New Roman" w:hAnsi="Times New Roman"/>
          <w:sz w:val="20"/>
          <w:szCs w:val="20"/>
          <w:color w:val="auto"/>
        </w:rPr>
      </w:pPr>
    </w:p>
    <w:p>
      <w:pPr>
        <w:spacing w:after="0" w:line="209" w:lineRule="exact"/>
        <w:rPr>
          <w:rFonts w:ascii="Times New Roman" w:cs="Times New Roman" w:eastAsia="Times New Roman" w:hAnsi="Times New Roman"/>
          <w:sz w:val="20"/>
          <w:szCs w:val="20"/>
          <w:color w:val="auto"/>
        </w:rPr>
      </w:pPr>
    </w:p>
    <w:p>
      <w:pPr>
        <w:ind w:left="2032" w:hanging="344"/>
        <w:spacing w:after="0"/>
        <w:tabs>
          <w:tab w:leader="none" w:pos="2032"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B.(i)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B.(ii)</w:t>
      </w:r>
    </w:p>
    <w:p>
      <w:pPr>
        <w:spacing w:after="0" w:line="200" w:lineRule="exact"/>
        <w:rPr>
          <w:rFonts w:ascii="Times New Roman" w:cs="Times New Roman" w:eastAsia="Times New Roman" w:hAnsi="Times New Roman"/>
          <w:sz w:val="20"/>
          <w:szCs w:val="20"/>
          <w:color w:val="auto"/>
        </w:rPr>
      </w:pPr>
    </w:p>
    <w:p>
      <w:pPr>
        <w:spacing w:after="0" w:line="312" w:lineRule="exact"/>
        <w:rPr>
          <w:rFonts w:ascii="Times New Roman" w:cs="Times New Roman" w:eastAsia="Times New Roman" w:hAnsi="Times New Roman"/>
          <w:sz w:val="20"/>
          <w:szCs w:val="20"/>
          <w:color w:val="auto"/>
        </w:rPr>
      </w:pPr>
    </w:p>
    <w:p>
      <w:pPr>
        <w:ind w:left="1692" w:right="340" w:hanging="4"/>
        <w:spacing w:after="0" w:line="283" w:lineRule="auto"/>
        <w:tabs>
          <w:tab w:leader="none" w:pos="2027"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EBITDA for the most recently ended 4 fiscal quarters (from A.(xvii) above)</w:t>
      </w:r>
    </w:p>
    <w:p>
      <w:pPr>
        <w:spacing w:after="0" w:line="200" w:lineRule="exact"/>
        <w:rPr>
          <w:rFonts w:ascii="Times New Roman" w:cs="Times New Roman" w:eastAsia="Times New Roman" w:hAnsi="Times New Roman"/>
          <w:sz w:val="20"/>
          <w:szCs w:val="20"/>
          <w:color w:val="auto"/>
        </w:rPr>
      </w:pPr>
    </w:p>
    <w:p>
      <w:pPr>
        <w:spacing w:after="0" w:line="270" w:lineRule="exact"/>
        <w:rPr>
          <w:rFonts w:ascii="Times New Roman" w:cs="Times New Roman" w:eastAsia="Times New Roman" w:hAnsi="Times New Roman"/>
          <w:sz w:val="20"/>
          <w:szCs w:val="20"/>
          <w:color w:val="auto"/>
        </w:rPr>
      </w:pPr>
    </w:p>
    <w:p>
      <w:pPr>
        <w:ind w:left="1972" w:hanging="284"/>
        <w:spacing w:after="0"/>
        <w:tabs>
          <w:tab w:leader="none" w:pos="1972"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Leverage Ratio (ratio of B.(iii) to B.(iv))</w:t>
      </w:r>
    </w:p>
    <w:p>
      <w:pPr>
        <w:spacing w:after="0" w:line="200" w:lineRule="exact"/>
        <w:rPr>
          <w:sz w:val="20"/>
          <w:szCs w:val="20"/>
          <w:color w:val="auto"/>
        </w:rPr>
      </w:pPr>
    </w:p>
    <w:p>
      <w:pPr>
        <w:spacing w:after="0" w:line="326" w:lineRule="exact"/>
        <w:rPr>
          <w:sz w:val="20"/>
          <w:szCs w:val="20"/>
          <w:color w:val="auto"/>
        </w:rPr>
      </w:pPr>
    </w:p>
    <w:p>
      <w:pPr>
        <w:ind w:left="1692"/>
        <w:spacing w:after="0"/>
        <w:rPr>
          <w:sz w:val="20"/>
          <w:szCs w:val="20"/>
          <w:color w:val="auto"/>
        </w:rPr>
      </w:pPr>
      <w:r>
        <w:rPr>
          <w:rFonts w:ascii="Times New Roman" w:cs="Times New Roman" w:eastAsia="Times New Roman" w:hAnsi="Times New Roman"/>
          <w:sz w:val="20"/>
          <w:szCs w:val="20"/>
          <w:color w:val="auto"/>
        </w:rPr>
        <w:t>Maximum Net Leverage Ratio permitted under Section 6.12(a)</w:t>
      </w:r>
    </w:p>
    <w:p>
      <w:pPr>
        <w:spacing w:after="0" w:line="200" w:lineRule="exact"/>
        <w:rPr>
          <w:sz w:val="20"/>
          <w:szCs w:val="20"/>
          <w:color w:val="auto"/>
        </w:rPr>
      </w:pPr>
    </w:p>
    <w:p>
      <w:pPr>
        <w:spacing w:after="0" w:line="286" w:lineRule="exact"/>
        <w:rPr>
          <w:sz w:val="20"/>
          <w:szCs w:val="20"/>
          <w:color w:val="auto"/>
        </w:rPr>
      </w:pPr>
    </w:p>
    <w:p>
      <w:pPr>
        <w:ind w:left="1692"/>
        <w:spacing w:after="0"/>
        <w:rPr>
          <w:sz w:val="20"/>
          <w:szCs w:val="20"/>
          <w:color w:val="auto"/>
        </w:rPr>
      </w:pPr>
      <w:r>
        <w:rPr>
          <w:rFonts w:ascii="Times New Roman" w:cs="Times New Roman" w:eastAsia="Times New Roman" w:hAnsi="Times New Roman"/>
          <w:sz w:val="20"/>
          <w:szCs w:val="20"/>
          <w:color w:val="auto"/>
        </w:rPr>
        <w:t>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528320</wp:posOffset>
            </wp:positionV>
            <wp:extent cx="16459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 $____________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 $____________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$____________</w:t>
      </w: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$____________</w:t>
      </w:r>
    </w:p>
    <w:p>
      <w:pPr>
        <w:spacing w:after="0" w:line="200" w:lineRule="exact"/>
        <w:rPr>
          <w:sz w:val="20"/>
          <w:szCs w:val="20"/>
          <w:color w:val="auto"/>
        </w:rPr>
      </w:pPr>
    </w:p>
    <w:p>
      <w:pPr>
        <w:spacing w:after="0" w:line="2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___ to 1.00</w:t>
      </w:r>
    </w:p>
    <w:p>
      <w:pPr>
        <w:spacing w:after="0" w:line="200" w:lineRule="exact"/>
        <w:rPr>
          <w:sz w:val="20"/>
          <w:szCs w:val="20"/>
          <w:color w:val="auto"/>
        </w:rPr>
      </w:pPr>
    </w:p>
    <w:p>
      <w:pPr>
        <w:spacing w:after="0" w:line="3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___</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19"/>
          <w:szCs w:val="19"/>
          <w:color w:val="auto"/>
        </w:rPr>
        <w:t>to 1.00</w:t>
      </w:r>
      <w:r>
        <w:rPr>
          <w:rFonts w:ascii="Times New Roman" w:cs="Times New Roman" w:eastAsia="Times New Roman" w:hAnsi="Times New Roman"/>
          <w:sz w:val="25"/>
          <w:szCs w:val="25"/>
          <w:color w:val="auto"/>
          <w:vertAlign w:val="superscript"/>
        </w:rPr>
        <w:t>13</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Yes/No (select one)</w:t>
      </w:r>
    </w:p>
    <w:p>
      <w:pPr>
        <w:spacing w:after="0" w:line="211" w:lineRule="exact"/>
        <w:rPr>
          <w:sz w:val="20"/>
          <w:szCs w:val="20"/>
          <w:color w:val="auto"/>
        </w:rPr>
      </w:pPr>
    </w:p>
    <w:p>
      <w:pPr>
        <w:sectPr>
          <w:pgSz w:w="11900" w:h="16838" w:orient="portrait"/>
          <w:cols w:equalWidth="0" w:num="2">
            <w:col w:w="8892" w:space="720"/>
            <w:col w:w="1620"/>
          </w:cols>
          <w:pgMar w:left="328"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8" w:right="20" w:firstLine="8"/>
        <w:spacing w:after="0" w:line="235" w:lineRule="auto"/>
        <w:tabs>
          <w:tab w:leader="none" w:pos="178" w:val="left"/>
        </w:tabs>
        <w:numPr>
          <w:ilvl w:val="0"/>
          <w:numId w:val="20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if the aggregate amount of unrestricted cash and Cash Equivalents of Borrower and its Subsidiaries as of any date of determination exceeds $75,000,000, the aggregate amount of cash and Cash Equivalents shall be deemed to be $75,000,000 for purposes of the calculation of the Net Leverage Ratio.</w:t>
      </w:r>
    </w:p>
    <w:p>
      <w:pPr>
        <w:spacing w:after="0" w:line="2" w:lineRule="exact"/>
        <w:rPr>
          <w:rFonts w:ascii="Times New Roman" w:cs="Times New Roman" w:eastAsia="Times New Roman" w:hAnsi="Times New Roman"/>
          <w:sz w:val="23"/>
          <w:szCs w:val="23"/>
          <w:color w:val="auto"/>
          <w:vertAlign w:val="superscript"/>
        </w:rPr>
      </w:pPr>
    </w:p>
    <w:p>
      <w:pPr>
        <w:jc w:val="both"/>
        <w:ind w:left="-8" w:firstLine="8"/>
        <w:spacing w:after="0" w:line="239" w:lineRule="auto"/>
        <w:tabs>
          <w:tab w:leader="none" w:pos="160" w:val="left"/>
        </w:tabs>
        <w:numPr>
          <w:ilvl w:val="0"/>
          <w:numId w:val="20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the Maximum Net Leverage Ratio shall be 3.00 to 1.00; provided that following a Permitted Acquisition for which the aggregate consideration in respect thereof exceeds $75,000,000, the Borrower may elect to increase the maximum Net Leverage Ratio to 3.50 to 1.00 for a period of four consecutive fiscal quarters commencing with the fiscal quarter in which such Acquisition occurs (any such election in respect of the maximum Net Leverage Ratio being referred to as the “Acquisition Holiday”); provided, further that following the Borrower’s election to utilize an Acquisition Holiday, the Borrower shall not be permitted to request an additional Acquisition Holiday unless a period of at least two consecutive fiscal quarters shall have passed since the last day of the prior Acquisition Holiday.</w:t>
      </w:r>
    </w:p>
    <w:p>
      <w:pPr>
        <w:sectPr>
          <w:pgSz w:w="11900" w:h="16838" w:orient="portrait"/>
          <w:cols w:equalWidth="0" w:num="1">
            <w:col w:w="11232"/>
          </w:cols>
          <w:pgMar w:left="328" w:top="1440" w:right="339" w:bottom="1440" w:gutter="0" w:footer="0" w:header="0"/>
          <w:type w:val="continuous"/>
        </w:sectPr>
      </w:pPr>
    </w:p>
    <w:bookmarkStart w:id="158" w:name="page159"/>
    <w:bookmarkEnd w:id="158"/>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 Minimum Interest Coverage Ratio (Section 6.12(b))</w:t>
            </w: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7"/>
        </w:trPr>
        <w:tc>
          <w:tcPr>
            <w:tcW w:w="8960" w:type="dxa"/>
            <w:vAlign w:val="bottom"/>
          </w:tcPr>
          <w:p>
            <w:pPr>
              <w:ind w:left="1600"/>
              <w:spacing w:after="0"/>
              <w:rPr>
                <w:sz w:val="20"/>
                <w:szCs w:val="20"/>
                <w:color w:val="auto"/>
              </w:rPr>
            </w:pPr>
            <w:r>
              <w:rPr>
                <w:rFonts w:ascii="Times New Roman" w:cs="Times New Roman" w:eastAsia="Times New Roman" w:hAnsi="Times New Roman"/>
                <w:sz w:val="20"/>
                <w:szCs w:val="20"/>
                <w:color w:val="auto"/>
              </w:rPr>
              <w:t>(i) Consolidated EBITDA for the most recently ended 4 fiscal quarters (from A.(xvii)</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960" w:type="dxa"/>
            <w:vAlign w:val="bottom"/>
          </w:tcPr>
          <w:p>
            <w:pPr>
              <w:ind w:left="1600"/>
              <w:spacing w:after="0"/>
              <w:rPr>
                <w:sz w:val="20"/>
                <w:szCs w:val="20"/>
                <w:color w:val="auto"/>
              </w:rPr>
            </w:pPr>
            <w:r>
              <w:rPr>
                <w:rFonts w:ascii="Times New Roman" w:cs="Times New Roman" w:eastAsia="Times New Roman" w:hAnsi="Times New Roman"/>
                <w:sz w:val="20"/>
                <w:szCs w:val="20"/>
                <w:color w:val="auto"/>
              </w:rPr>
              <w:t>above)</w:t>
            </w: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$____________</w:t>
            </w:r>
          </w:p>
        </w:tc>
        <w:tc>
          <w:tcPr>
            <w:tcW w:w="0" w:type="dxa"/>
            <w:vAlign w:val="bottom"/>
          </w:tcPr>
          <w:p>
            <w:pPr>
              <w:spacing w:after="0"/>
              <w:rPr>
                <w:sz w:val="1"/>
                <w:szCs w:val="1"/>
                <w:color w:val="auto"/>
              </w:rPr>
            </w:pPr>
          </w:p>
        </w:tc>
      </w:tr>
      <w:tr>
        <w:trPr>
          <w:trHeight w:val="162"/>
        </w:trPr>
        <w:tc>
          <w:tcPr>
            <w:tcW w:w="896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8960" w:type="dxa"/>
            <w:vAlign w:val="bottom"/>
          </w:tcPr>
          <w:p>
            <w:pPr>
              <w:ind w:left="1600"/>
              <w:spacing w:after="0"/>
              <w:rPr>
                <w:sz w:val="20"/>
                <w:szCs w:val="20"/>
                <w:color w:val="auto"/>
              </w:rPr>
            </w:pPr>
            <w:r>
              <w:rPr>
                <w:rFonts w:ascii="Times New Roman" w:cs="Times New Roman" w:eastAsia="Times New Roman" w:hAnsi="Times New Roman"/>
                <w:sz w:val="20"/>
                <w:szCs w:val="20"/>
                <w:color w:val="auto"/>
              </w:rPr>
              <w:t>(ii) Consolidated Interest Expense for such period</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$____________</w:t>
            </w:r>
          </w:p>
        </w:tc>
        <w:tc>
          <w:tcPr>
            <w:tcW w:w="0" w:type="dxa"/>
            <w:vAlign w:val="bottom"/>
          </w:tcPr>
          <w:p>
            <w:pPr>
              <w:spacing w:after="0"/>
              <w:rPr>
                <w:sz w:val="1"/>
                <w:szCs w:val="1"/>
                <w:color w:val="auto"/>
              </w:rPr>
            </w:pPr>
          </w:p>
        </w:tc>
      </w:tr>
      <w:tr>
        <w:trPr>
          <w:trHeight w:val="743"/>
        </w:trPr>
        <w:tc>
          <w:tcPr>
            <w:tcW w:w="8960" w:type="dxa"/>
            <w:vAlign w:val="bottom"/>
          </w:tcPr>
          <w:p>
            <w:pPr>
              <w:ind w:left="1600"/>
              <w:spacing w:after="0"/>
              <w:rPr>
                <w:sz w:val="20"/>
                <w:szCs w:val="20"/>
                <w:color w:val="auto"/>
              </w:rPr>
            </w:pPr>
            <w:r>
              <w:rPr>
                <w:rFonts w:ascii="Times New Roman" w:cs="Times New Roman" w:eastAsia="Times New Roman" w:hAnsi="Times New Roman"/>
                <w:sz w:val="20"/>
                <w:szCs w:val="20"/>
                <w:color w:val="auto"/>
              </w:rPr>
              <w:t>(iii) Interest Coverage Ratio (ratio of C.(i) to C.(ii))</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___ to 1.00</w:t>
            </w:r>
          </w:p>
        </w:tc>
        <w:tc>
          <w:tcPr>
            <w:tcW w:w="0" w:type="dxa"/>
            <w:vAlign w:val="bottom"/>
          </w:tcPr>
          <w:p>
            <w:pPr>
              <w:spacing w:after="0"/>
              <w:rPr>
                <w:sz w:val="1"/>
                <w:szCs w:val="1"/>
                <w:color w:val="auto"/>
              </w:rPr>
            </w:pPr>
          </w:p>
        </w:tc>
      </w:tr>
      <w:tr>
        <w:trPr>
          <w:trHeight w:val="742"/>
        </w:trPr>
        <w:tc>
          <w:tcPr>
            <w:tcW w:w="8960" w:type="dxa"/>
            <w:vAlign w:val="bottom"/>
          </w:tcPr>
          <w:p>
            <w:pPr>
              <w:ind w:left="1600"/>
              <w:spacing w:after="0"/>
              <w:rPr>
                <w:sz w:val="20"/>
                <w:szCs w:val="20"/>
                <w:color w:val="auto"/>
              </w:rPr>
            </w:pPr>
            <w:r>
              <w:rPr>
                <w:rFonts w:ascii="Times New Roman" w:cs="Times New Roman" w:eastAsia="Times New Roman" w:hAnsi="Times New Roman"/>
                <w:sz w:val="20"/>
                <w:szCs w:val="20"/>
                <w:color w:val="auto"/>
              </w:rPr>
              <w:t>Minimum Interest Coverage Ratio permitted under Section 6.12(b)</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 to 1.00</w:t>
            </w:r>
          </w:p>
        </w:tc>
        <w:tc>
          <w:tcPr>
            <w:tcW w:w="0" w:type="dxa"/>
            <w:vAlign w:val="bottom"/>
          </w:tcPr>
          <w:p>
            <w:pPr>
              <w:spacing w:after="0"/>
              <w:rPr>
                <w:sz w:val="1"/>
                <w:szCs w:val="1"/>
                <w:color w:val="auto"/>
              </w:rPr>
            </w:pPr>
          </w:p>
        </w:tc>
      </w:tr>
      <w:tr>
        <w:trPr>
          <w:trHeight w:val="662"/>
        </w:trPr>
        <w:tc>
          <w:tcPr>
            <w:tcW w:w="8960" w:type="dxa"/>
            <w:vAlign w:val="bottom"/>
          </w:tcPr>
          <w:p>
            <w:pPr>
              <w:ind w:left="1600"/>
              <w:spacing w:after="0"/>
              <w:rPr>
                <w:sz w:val="20"/>
                <w:szCs w:val="20"/>
                <w:color w:val="auto"/>
              </w:rPr>
            </w:pPr>
            <w:r>
              <w:rPr>
                <w:rFonts w:ascii="Times New Roman" w:cs="Times New Roman" w:eastAsia="Times New Roman" w:hAnsi="Times New Roman"/>
                <w:sz w:val="20"/>
                <w:szCs w:val="20"/>
                <w:color w:val="auto"/>
              </w:rPr>
              <w:t>In compliance?</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Yes/No (select one)</w:t>
            </w:r>
          </w:p>
        </w:tc>
        <w:tc>
          <w:tcPr>
            <w:tcW w:w="0" w:type="dxa"/>
            <w:vAlign w:val="bottom"/>
          </w:tcPr>
          <w:p>
            <w:pPr>
              <w:spacing w:after="0"/>
              <w:rPr>
                <w:sz w:val="1"/>
                <w:szCs w:val="1"/>
                <w:color w:val="auto"/>
              </w:rPr>
            </w:pPr>
          </w:p>
        </w:tc>
      </w:tr>
    </w:tbl>
    <w:p>
      <w:pPr>
        <w:sectPr>
          <w:pgSz w:w="11900" w:h="16838" w:orient="portrait"/>
          <w:cols w:equalWidth="0" w:num="1">
            <w:col w:w="11100"/>
          </w:cols>
          <w:pgMar w:left="400" w:top="1440" w:right="399" w:bottom="1440" w:gutter="0" w:footer="0" w:header="0"/>
        </w:sectPr>
      </w:pPr>
    </w:p>
    <w:bookmarkStart w:id="159" w:name="page160"/>
    <w:bookmarkEnd w:id="159"/>
    <w:p>
      <w:pPr>
        <w:spacing w:after="0" w:line="18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Schedule II to Compliance Certificate</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Borrower’s Applicable Rate Calculation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Leverage Ratio (from B.(v) of Schedule I): _______ to 1.00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Applicable Rate Category (see definition of Applicable Rate): Category [insert applicable number 1 through 5]</w:t>
      </w:r>
    </w:p>
    <w:p>
      <w:pPr>
        <w:sectPr>
          <w:pgSz w:w="11900" w:h="16838" w:orient="portrait"/>
          <w:cols w:equalWidth="0" w:num="1">
            <w:col w:w="10139"/>
          </w:cols>
          <w:pgMar w:left="320" w:top="1440" w:right="1440" w:bottom="1440" w:gutter="0" w:footer="0" w:header="0"/>
        </w:sectPr>
      </w:pPr>
    </w:p>
    <w:bookmarkStart w:id="160" w:name="page161"/>
    <w:bookmarkEnd w:id="160"/>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F</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JOINDER AGREEMENT</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JOINDER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dated as of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0"/>
          <w:szCs w:val="20"/>
          <w:color w:val="auto"/>
        </w:rPr>
        <w:t>____</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0"/>
          <w:szCs w:val="20"/>
          <w:color w:val="auto"/>
        </w:rPr>
        <w:t xml:space="preserve">, is entered into between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0"/>
          <w:szCs w:val="20"/>
          <w:color w:val="auto"/>
        </w:rPr>
        <w:t>_______</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0"/>
          <w:szCs w:val="20"/>
          <w:color w:val="auto"/>
        </w:rPr>
        <w:t>______</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New</w:t>
      </w:r>
    </w:p>
    <w:p>
      <w:pPr>
        <w:spacing w:after="0" w:line="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and BMO BANK N.A., in its capacity as administrative agent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under that certain Credit Agreement dated as of October 22, 2026 (as the same may be amended, modified, extended or restated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among Cricut, Inc.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other Loan Parties party thereto, the Lenders party thereto and the Administrative Agent for the Lenders. All capitalized terms used herein and not otherwise defined herein shall have the meanings set forth in the Credit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New Subsidiary and the Administrative Agent, for the benefit of the Secured Parties, hereby agree as follows:</w:t>
      </w:r>
    </w:p>
    <w:p>
      <w:pPr>
        <w:spacing w:after="0" w:line="229" w:lineRule="exact"/>
        <w:rPr>
          <w:sz w:val="20"/>
          <w:szCs w:val="20"/>
          <w:color w:val="auto"/>
        </w:rPr>
      </w:pPr>
    </w:p>
    <w:p>
      <w:pPr>
        <w:jc w:val="both"/>
        <w:ind w:firstLine="656"/>
        <w:spacing w:after="0" w:line="248" w:lineRule="auto"/>
        <w:tabs>
          <w:tab w:leader="none" w:pos="105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Subsidiary hereby acknowledges, agrees and confirms that, by its execution of this Agreement, the New Subsidiary will be deemed to be a 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(b) all of the covenants set forth in Articles V and VI of the Credit Agreement and (c) all of the guaranty obligations set forth in Article X of the Credit Agreement. Without limiting the generality of the foregoing terms of this paragraph 1, the New Subsidiary, subject to the limitations set forth in Sections 10.10 and 10.13 of the Credit Agreement, hereby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p>
    <w:p>
      <w:pPr>
        <w:spacing w:after="0" w:line="207" w:lineRule="exact"/>
        <w:rPr>
          <w:rFonts w:ascii="Times New Roman" w:cs="Times New Roman" w:eastAsia="Times New Roman" w:hAnsi="Times New Roman"/>
          <w:sz w:val="20"/>
          <w:szCs w:val="20"/>
          <w:color w:val="auto"/>
        </w:rPr>
      </w:pPr>
    </w:p>
    <w:p>
      <w:pPr>
        <w:jc w:val="both"/>
        <w:ind w:firstLine="656"/>
        <w:spacing w:after="0" w:line="261" w:lineRule="auto"/>
        <w:tabs>
          <w:tab w:leader="none" w:pos="115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81"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of the New Subsidiary for purposes of Section 9.01 of the Credit Agreement is as follows: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89" w:lineRule="exact"/>
        <w:rPr>
          <w:sz w:val="20"/>
          <w:szCs w:val="20"/>
          <w:color w:val="auto"/>
        </w:rPr>
      </w:pPr>
    </w:p>
    <w:p>
      <w:pPr>
        <w:ind w:firstLine="656"/>
        <w:spacing w:after="0" w:line="283" w:lineRule="auto"/>
        <w:tabs>
          <w:tab w:leader="none" w:pos="1113"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Subsidiary hereby waives acceptance by the Administrative Agent and the Lenders of the guaranty by the New Subsidiary upon the execution of this Agreement by the New Subsidiary.</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06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any number of counterparts, each of which when so executed and delivered shall be an original, but all of which together shall constitute one and the same instrument. Execution of this Agreement by Electronic Signature or delivery of an executed counterpart of a signature page of this Agreement by any Approved Electronic Platform shall be effective as delivery of a manually executed counterpart of this Agreement.</w:t>
      </w:r>
    </w:p>
    <w:p>
      <w:pPr>
        <w:spacing w:after="0" w:line="185" w:lineRule="exact"/>
        <w:rPr>
          <w:rFonts w:ascii="Times New Roman" w:cs="Times New Roman" w:eastAsia="Times New Roman" w:hAnsi="Times New Roman"/>
          <w:sz w:val="20"/>
          <w:szCs w:val="20"/>
          <w:color w:val="auto"/>
        </w:rPr>
      </w:pPr>
    </w:p>
    <w:p>
      <w:pPr>
        <w:ind w:firstLine="656"/>
        <w:spacing w:after="0" w:line="295" w:lineRule="auto"/>
        <w:tabs>
          <w:tab w:leader="none" w:pos="1010"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AND THE RIGHTS AND OBLIGATIONS OF THE PARTIES HEREUNDER SHALL BE GOVERNED BY AND CONSTRUED AND INTERPRETED IN ACCORDANCE WITH THE LAWS OF THE STATE OF NEW YORK.</w:t>
      </w:r>
    </w:p>
    <w:p>
      <w:pPr>
        <w:spacing w:after="0" w:line="1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WITNESS WHEREOF, the New Subsidiary has caused this Agreement to be duly executed by its authorized officer, and the Administrative Agent, for the benefit of the Secured Parties, has caused the same to be accepted by its authorized officer, as of the day and year first above written.</w:t>
      </w:r>
    </w:p>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NEW SUBSIDIARY</w:t>
      </w:r>
      <w:r>
        <w:rPr>
          <w:rFonts w:ascii="Times New Roman" w:cs="Times New Roman" w:eastAsia="Times New Roman" w:hAnsi="Times New Roman"/>
          <w:sz w:val="25"/>
          <w:szCs w:val="25"/>
          <w:b w:val="1"/>
          <w:bCs w:val="1"/>
          <w:u w:val="single" w:color="auto"/>
          <w:color w:val="auto"/>
        </w:rPr>
        <w:t>]</w:t>
      </w: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Name:___________________________</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Title:____________________________</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Acknowledged and accepted:</w:t>
      </w: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BMO BANK N.A., as Administrative Agent</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By:_____________________________</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Name:___________________________</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A1821B"/>
    <w:multiLevelType w:val="hybridMultilevel"/>
    <w:lvl w:ilvl="0">
      <w:lvlJc w:val="left"/>
      <w:lvlText w:val="☐"/>
      <w:numFmt w:val="bullet"/>
      <w:start w:val="1"/>
    </w:lvl>
  </w:abstractNum>
  <w:abstractNum w:abstractNumId="1">
    <w:nsid w:val="7DE67713"/>
    <w:multiLevelType w:val="hybridMultilevel"/>
    <w:lvl w:ilvl="0">
      <w:lvlJc w:val="left"/>
      <w:lvlText w:val="%1"/>
      <w:numFmt w:val="decimal"/>
      <w:start w:val="104"/>
    </w:lvl>
  </w:abstractNum>
  <w:abstractNum w:abstractNumId="2">
    <w:nsid w:val="555C55B5"/>
    <w:multiLevelType w:val="hybridMultilevel"/>
    <w:lvl w:ilvl="0">
      <w:lvlJc w:val="left"/>
      <w:lvlText w:val="(%1)"/>
      <w:numFmt w:val="decimal"/>
      <w:start w:val="1"/>
    </w:lvl>
  </w:abstractNum>
  <w:abstractNum w:abstractNumId="3">
    <w:nsid w:val="3FA62ACA"/>
    <w:multiLevelType w:val="hybridMultilevel"/>
    <w:lvl w:ilvl="0">
      <w:lvlJc w:val="left"/>
      <w:lvlText w:val="(%1)"/>
      <w:numFmt w:val="decimal"/>
      <w:start w:val="1"/>
    </w:lvl>
  </w:abstractNum>
  <w:abstractNum w:abstractNumId="4">
    <w:nsid w:val="14FCE74E"/>
    <w:multiLevelType w:val="hybridMultilevel"/>
    <w:lvl w:ilvl="0">
      <w:lvlJc w:val="left"/>
      <w:lvlText w:val="(%1)"/>
      <w:numFmt w:val="decimal"/>
      <w:start w:val="1"/>
    </w:lvl>
  </w:abstractNum>
  <w:abstractNum w:abstractNumId="5">
    <w:nsid w:val="6A3DD3E8"/>
    <w:multiLevelType w:val="hybridMultilevel"/>
    <w:lvl w:ilvl="0">
      <w:lvlJc w:val="left"/>
      <w:lvlText w:val="(%1)"/>
      <w:numFmt w:val="lowerLetter"/>
      <w:start w:val="2"/>
    </w:lvl>
  </w:abstractNum>
  <w:abstractNum w:abstractNumId="6">
    <w:nsid w:val="71C91298"/>
    <w:multiLevelType w:val="hybridMultilevel"/>
    <w:lvl w:ilvl="0">
      <w:lvlJc w:val="left"/>
      <w:lvlText w:val="(%1)"/>
      <w:numFmt w:val="lowerRoman"/>
      <w:start w:val="1"/>
    </w:lvl>
  </w:abstractNum>
  <w:abstractNum w:abstractNumId="7">
    <w:nsid w:val="9DAF632"/>
    <w:multiLevelType w:val="hybridMultilevel"/>
    <w:lvl w:ilvl="0">
      <w:lvlJc w:val="left"/>
      <w:lvlText w:val="(%1)"/>
      <w:numFmt w:val="lowerLetter"/>
      <w:start w:val="2"/>
    </w:lvl>
  </w:abstractNum>
  <w:abstractNum w:abstractNumId="8">
    <w:nsid w:val="53299938"/>
    <w:multiLevelType w:val="hybridMultilevel"/>
    <w:lvl w:ilvl="0">
      <w:lvlJc w:val="left"/>
      <w:lvlText w:val="(%1)"/>
      <w:numFmt w:val="decimal"/>
      <w:start w:val="70"/>
    </w:lvl>
  </w:abstractNum>
  <w:abstractNum w:abstractNumId="9">
    <w:nsid w:val="1FBFE8E0"/>
    <w:multiLevelType w:val="hybridMultilevel"/>
    <w:lvl w:ilvl="0">
      <w:lvlJc w:val="left"/>
      <w:lvlText w:val="(%1)"/>
      <w:numFmt w:val="decimal"/>
      <w:start w:val="1"/>
    </w:lvl>
  </w:abstractNum>
  <w:abstractNum w:abstractNumId="10">
    <w:nsid w:val="5092CA79"/>
    <w:multiLevelType w:val="hybridMultilevel"/>
    <w:lvl w:ilvl="0">
      <w:lvlJc w:val="left"/>
      <w:lvlText w:val="(%1)"/>
      <w:numFmt w:val="upperLetter"/>
      <w:start w:val="2"/>
    </w:lvl>
  </w:abstractNum>
  <w:abstractNum w:abstractNumId="11">
    <w:nsid w:val="1D545C4D"/>
    <w:multiLevelType w:val="hybridMultilevel"/>
    <w:lvl w:ilvl="0">
      <w:lvlJc w:val="left"/>
      <w:lvlText w:val="(%1)"/>
      <w:numFmt w:val="lowerLetter"/>
      <w:start w:val="2"/>
    </w:lvl>
  </w:abstractNum>
  <w:abstractNum w:abstractNumId="12">
    <w:nsid w:val="59ADEA3D"/>
    <w:multiLevelType w:val="hybridMultilevel"/>
    <w:lvl w:ilvl="0">
      <w:lvlJc w:val="left"/>
      <w:lvlText w:val="(%1)"/>
      <w:numFmt w:val="lowerLetter"/>
      <w:start w:val="1"/>
    </w:lvl>
  </w:abstractNum>
  <w:abstractNum w:abstractNumId="13">
    <w:nsid w:val="288F1A34"/>
    <w:multiLevelType w:val="hybridMultilevel"/>
    <w:lvl w:ilvl="0">
      <w:lvlJc w:val="left"/>
      <w:lvlText w:val="(%1)"/>
      <w:numFmt w:val="lowerLetter"/>
      <w:start w:val="7"/>
    </w:lvl>
  </w:abstractNum>
  <w:abstractNum w:abstractNumId="14">
    <w:nsid w:val="2A155DBC"/>
    <w:multiLevelType w:val="hybridMultilevel"/>
    <w:lvl w:ilvl="0">
      <w:lvlJc w:val="left"/>
      <w:lvlText w:val="(%1)"/>
      <w:numFmt w:val="lowerLetter"/>
      <w:start w:val="1"/>
    </w:lvl>
  </w:abstractNum>
  <w:abstractNum w:abstractNumId="15">
    <w:nsid w:val="1D9F6E5F"/>
    <w:multiLevelType w:val="hybridMultilevel"/>
    <w:lvl w:ilvl="0">
      <w:lvlJc w:val="left"/>
      <w:lvlText w:val="(%1)"/>
      <w:numFmt w:val="lowerLetter"/>
      <w:start w:val="3"/>
    </w:lvl>
  </w:abstractNum>
  <w:abstractNum w:abstractNumId="16">
    <w:nsid w:val="97E1B4E"/>
    <w:multiLevelType w:val="hybridMultilevel"/>
    <w:lvl w:ilvl="0">
      <w:lvlJc w:val="left"/>
      <w:lvlText w:val="(%1)"/>
      <w:numFmt w:val="lowerLetter"/>
      <w:start w:val="1"/>
    </w:lvl>
  </w:abstractNum>
  <w:abstractNum w:abstractNumId="17">
    <w:nsid w:val="51088277"/>
    <w:multiLevelType w:val="hybridMultilevel"/>
    <w:lvl w:ilvl="0">
      <w:lvlJc w:val="left"/>
      <w:lvlText w:val="(%1)"/>
      <w:numFmt w:val="lowerLetter"/>
      <w:start w:val="2"/>
    </w:lvl>
  </w:abstractNum>
  <w:abstractNum w:abstractNumId="18">
    <w:nsid w:val="1CA0C5FA"/>
    <w:multiLevelType w:val="hybridMultilevel"/>
    <w:lvl w:ilvl="0">
      <w:lvlJc w:val="left"/>
      <w:lvlText w:val="(%1)"/>
      <w:numFmt w:val="decimal"/>
      <w:start w:val="7"/>
    </w:lvl>
  </w:abstractNum>
  <w:abstractNum w:abstractNumId="19">
    <w:nsid w:val="53584BCB"/>
    <w:multiLevelType w:val="hybridMultilevel"/>
    <w:lvl w:ilvl="0">
      <w:lvlJc w:val="left"/>
      <w:lvlText w:val="(%1)"/>
      <w:numFmt w:val="decimal"/>
      <w:start w:val="2"/>
    </w:lvl>
  </w:abstractNum>
  <w:abstractNum w:abstractNumId="20">
    <w:nsid w:val="415E286C"/>
    <w:multiLevelType w:val="hybridMultilevel"/>
    <w:lvl w:ilvl="0">
      <w:lvlJc w:val="left"/>
      <w:lvlText w:val="(%1)"/>
      <w:numFmt w:val="lowerRoman"/>
      <w:start w:val="2"/>
    </w:lvl>
  </w:abstractNum>
  <w:abstractNum w:abstractNumId="21">
    <w:nsid w:val="7C58FD05"/>
    <w:multiLevelType w:val="hybridMultilevel"/>
    <w:lvl w:ilvl="0">
      <w:lvlJc w:val="left"/>
      <w:lvlText w:val="(%1)"/>
      <w:numFmt w:val="lowerRoman"/>
      <w:start w:val="1"/>
    </w:lvl>
  </w:abstractNum>
  <w:abstractNum w:abstractNumId="22">
    <w:nsid w:val="23D86AAC"/>
    <w:multiLevelType w:val="hybridMultilevel"/>
    <w:lvl w:ilvl="0">
      <w:lvlJc w:val="left"/>
      <w:lvlText w:val="(%1)"/>
      <w:numFmt w:val="lowerRoman"/>
      <w:start w:val="3"/>
    </w:lvl>
  </w:abstractNum>
  <w:abstractNum w:abstractNumId="23">
    <w:nsid w:val="45E6D486"/>
    <w:multiLevelType w:val="hybridMultilevel"/>
    <w:lvl w:ilvl="0">
      <w:lvlJc w:val="left"/>
      <w:lvlText w:val="(%1)"/>
      <w:numFmt w:val="lowerLetter"/>
      <w:start w:val="1"/>
    </w:lvl>
  </w:abstractNum>
  <w:abstractNum w:abstractNumId="24">
    <w:nsid w:val="5C10FE21"/>
    <w:multiLevelType w:val="hybridMultilevel"/>
    <w:lvl w:ilvl="0">
      <w:lvlJc w:val="left"/>
      <w:lvlText w:val="(%1)"/>
      <w:numFmt w:val="lowerLetter"/>
      <w:start w:val="1"/>
    </w:lvl>
  </w:abstractNum>
  <w:abstractNum w:abstractNumId="25">
    <w:nsid w:val="E7FFA2B"/>
    <w:multiLevelType w:val="hybridMultilevel"/>
    <w:lvl w:ilvl="0">
      <w:lvlJc w:val="left"/>
      <w:lvlText w:val="(%1)"/>
      <w:numFmt w:val="lowerLetter"/>
      <w:start w:val="2"/>
    </w:lvl>
  </w:abstractNum>
  <w:abstractNum w:abstractNumId="26">
    <w:nsid w:val="3C5991AA"/>
    <w:multiLevelType w:val="hybridMultilevel"/>
    <w:lvl w:ilvl="0">
      <w:lvlJc w:val="left"/>
      <w:lvlText w:val="(%1)"/>
      <w:numFmt w:val="lowerLetter"/>
      <w:start w:val="1"/>
    </w:lvl>
  </w:abstractNum>
  <w:abstractNum w:abstractNumId="27">
    <w:nsid w:val="4BD8591A"/>
    <w:multiLevelType w:val="hybridMultilevel"/>
    <w:lvl w:ilvl="0">
      <w:lvlJc w:val="left"/>
      <w:lvlText w:val="(%1)"/>
      <w:numFmt w:val="lowerLetter"/>
      <w:start w:val="1"/>
    </w:lvl>
  </w:abstractNum>
  <w:abstractNum w:abstractNumId="28">
    <w:nsid w:val="78DF6A55"/>
    <w:multiLevelType w:val="hybridMultilevel"/>
    <w:lvl w:ilvl="0">
      <w:lvlJc w:val="left"/>
      <w:lvlText w:val="(%1)"/>
      <w:numFmt w:val="lowerLetter"/>
      <w:start w:val="1"/>
    </w:lvl>
  </w:abstractNum>
  <w:abstractNum w:abstractNumId="29">
    <w:nsid w:val="39B7AAA2"/>
    <w:multiLevelType w:val="hybridMultilevel"/>
    <w:lvl w:ilvl="0">
      <w:lvlJc w:val="left"/>
      <w:lvlText w:val="(%1)"/>
      <w:numFmt w:val="lowerLetter"/>
      <w:start w:val="4"/>
    </w:lvl>
  </w:abstractNum>
  <w:abstractNum w:abstractNumId="30">
    <w:nsid w:val="2B0D8DBE"/>
    <w:multiLevelType w:val="hybridMultilevel"/>
    <w:lvl w:ilvl="0">
      <w:lvlJc w:val="left"/>
      <w:lvlText w:val="(%1)"/>
      <w:numFmt w:val="lowerRoman"/>
      <w:start w:val="1"/>
    </w:lvl>
  </w:abstractNum>
  <w:abstractNum w:abstractNumId="31">
    <w:nsid w:val="6C80EC70"/>
    <w:multiLevelType w:val="hybridMultilevel"/>
    <w:lvl w:ilvl="0">
      <w:lvlJc w:val="left"/>
      <w:lvlText w:val="(%1)"/>
      <w:numFmt w:val="lowerLetter"/>
      <w:start w:val="1"/>
    </w:lvl>
  </w:abstractNum>
  <w:abstractNum w:abstractNumId="32">
    <w:nsid w:val="379E21B5"/>
    <w:multiLevelType w:val="hybridMultilevel"/>
    <w:lvl w:ilvl="0">
      <w:lvlJc w:val="left"/>
      <w:lvlText w:val="(%1)"/>
      <w:numFmt w:val="lowerLetter"/>
      <w:start w:val="3"/>
    </w:lvl>
  </w:abstractNum>
  <w:abstractNum w:abstractNumId="33">
    <w:nsid w:val="69E373"/>
    <w:multiLevelType w:val="hybridMultilevel"/>
    <w:lvl w:ilvl="0">
      <w:lvlJc w:val="left"/>
      <w:lvlText w:val="(%1)"/>
      <w:numFmt w:val="lowerLetter"/>
      <w:start w:val="1"/>
    </w:lvl>
  </w:abstractNum>
  <w:abstractNum w:abstractNumId="34">
    <w:nsid w:val="2C27173B"/>
    <w:multiLevelType w:val="hybridMultilevel"/>
    <w:lvl w:ilvl="0">
      <w:lvlJc w:val="left"/>
      <w:lvlText w:val="%1"/>
      <w:numFmt w:val="lowerLetter"/>
      <w:start w:val="1"/>
    </w:lvl>
    <w:lvl w:ilvl="1">
      <w:lvlJc w:val="left"/>
      <w:lvlText w:val="(%2)"/>
      <w:numFmt w:val="lowerRoman"/>
      <w:start w:val="1"/>
    </w:lvl>
  </w:abstractNum>
  <w:abstractNum w:abstractNumId="35">
    <w:nsid w:val="4C9B0904"/>
    <w:multiLevelType w:val="hybridMultilevel"/>
    <w:lvl w:ilvl="0">
      <w:lvlJc w:val="left"/>
      <w:lvlText w:val="(%1)"/>
      <w:numFmt w:val="lowerLetter"/>
      <w:start w:val="3"/>
    </w:lvl>
    <w:lvl w:ilvl="1">
      <w:lvlJc w:val="left"/>
      <w:lvlText w:val="%2"/>
      <w:numFmt w:val="lowerRoman"/>
      <w:start w:val="1"/>
    </w:lvl>
  </w:abstractNum>
  <w:abstractNum w:abstractNumId="36">
    <w:nsid w:val="6AA7B75C"/>
    <w:multiLevelType w:val="hybridMultilevel"/>
    <w:lvl w:ilvl="0">
      <w:lvlJc w:val="left"/>
      <w:lvlText w:val="(%1)"/>
      <w:numFmt w:val="lowerLetter"/>
      <w:start w:val="6"/>
    </w:lvl>
  </w:abstractNum>
  <w:abstractNum w:abstractNumId="37">
    <w:nsid w:val="1DF029D3"/>
    <w:multiLevelType w:val="hybridMultilevel"/>
    <w:lvl w:ilvl="0">
      <w:lvlJc w:val="left"/>
      <w:lvlText w:val="(%1)"/>
      <w:numFmt w:val="lowerLetter"/>
      <w:start w:val="7"/>
    </w:lvl>
    <w:lvl w:ilvl="1">
      <w:lvlJc w:val="left"/>
      <w:lvlText w:val="(%2)"/>
      <w:numFmt w:val="lowerRoman"/>
      <w:start w:val="1"/>
    </w:lvl>
  </w:abstractNum>
  <w:abstractNum w:abstractNumId="38">
    <w:nsid w:val="5675FF36"/>
    <w:multiLevelType w:val="hybridMultilevel"/>
    <w:lvl w:ilvl="0">
      <w:lvlJc w:val="left"/>
      <w:lvlText w:val="(%1)"/>
      <w:numFmt w:val="lowerLetter"/>
      <w:start w:val="10"/>
    </w:lvl>
  </w:abstractNum>
  <w:abstractNum w:abstractNumId="39">
    <w:nsid w:val="3DD15094"/>
    <w:multiLevelType w:val="hybridMultilevel"/>
    <w:lvl w:ilvl="0">
      <w:lvlJc w:val="left"/>
      <w:lvlText w:val="(%1)"/>
      <w:numFmt w:val="lowerLetter"/>
      <w:start w:val="1"/>
    </w:lvl>
  </w:abstractNum>
  <w:abstractNum w:abstractNumId="40">
    <w:nsid w:val="3DB012B3"/>
    <w:multiLevelType w:val="hybridMultilevel"/>
    <w:lvl w:ilvl="0">
      <w:lvlJc w:val="left"/>
      <w:lvlText w:val="(%1)"/>
      <w:numFmt w:val="lowerLetter"/>
      <w:start w:val="1"/>
    </w:lvl>
  </w:abstractNum>
  <w:abstractNum w:abstractNumId="41">
    <w:nsid w:val="2708C9AF"/>
    <w:multiLevelType w:val="hybridMultilevel"/>
    <w:lvl w:ilvl="0">
      <w:lvlJc w:val="left"/>
      <w:lvlText w:val="(%1)"/>
      <w:numFmt w:val="lowerLetter"/>
      <w:start w:val="3"/>
    </w:lvl>
    <w:lvl w:ilvl="1">
      <w:lvlJc w:val="left"/>
      <w:lvlText w:val="(%2)"/>
      <w:numFmt w:val="lowerRoman"/>
      <w:start w:val="1"/>
    </w:lvl>
  </w:abstractNum>
  <w:abstractNum w:abstractNumId="42">
    <w:nsid w:val="5B25ACE2"/>
    <w:multiLevelType w:val="hybridMultilevel"/>
    <w:lvl w:ilvl="0">
      <w:lvlJc w:val="left"/>
      <w:lvlText w:val="(%1)"/>
      <w:numFmt w:val="lowerLetter"/>
      <w:start w:val="4"/>
    </w:lvl>
  </w:abstractNum>
  <w:abstractNum w:abstractNumId="43">
    <w:nsid w:val="175DFCF0"/>
    <w:multiLevelType w:val="hybridMultilevel"/>
    <w:lvl w:ilvl="0">
      <w:lvlJc w:val="left"/>
      <w:lvlText w:val="(%1)"/>
      <w:numFmt w:val="lowerLetter"/>
      <w:start w:val="1"/>
    </w:lvl>
  </w:abstractNum>
  <w:abstractNum w:abstractNumId="44">
    <w:nsid w:val="4F97E3E4"/>
    <w:multiLevelType w:val="hybridMultilevel"/>
    <w:lvl w:ilvl="0">
      <w:lvlJc w:val="left"/>
      <w:lvlText w:val="(%1)"/>
      <w:numFmt w:val="lowerLetter"/>
      <w:start w:val="6"/>
    </w:lvl>
  </w:abstractNum>
  <w:abstractNum w:abstractNumId="45">
    <w:nsid w:val="53B0A9E"/>
    <w:multiLevelType w:val="hybridMultilevel"/>
    <w:lvl w:ilvl="0">
      <w:lvlJc w:val="left"/>
      <w:lvlText w:val="(%1)"/>
      <w:numFmt w:val="lowerRoman"/>
      <w:start w:val="1"/>
    </w:lvl>
  </w:abstractNum>
  <w:abstractNum w:abstractNumId="46">
    <w:nsid w:val="34FD6B4F"/>
    <w:multiLevelType w:val="hybridMultilevel"/>
    <w:lvl w:ilvl="0">
      <w:lvlJc w:val="left"/>
      <w:lvlText w:val="(%1)"/>
      <w:numFmt w:val="lowerLetter"/>
      <w:start w:val="1"/>
    </w:lvl>
  </w:abstractNum>
  <w:abstractNum w:abstractNumId="47">
    <w:nsid w:val="5915FF32"/>
    <w:multiLevelType w:val="hybridMultilevel"/>
    <w:lvl w:ilvl="0">
      <w:lvlJc w:val="left"/>
      <w:lvlText w:val="(%1)"/>
      <w:numFmt w:val="lowerLetter"/>
      <w:start w:val="1"/>
    </w:lvl>
  </w:abstractNum>
  <w:abstractNum w:abstractNumId="48">
    <w:nsid w:val="56438D15"/>
    <w:multiLevelType w:val="hybridMultilevel"/>
    <w:lvl w:ilvl="0">
      <w:lvlJc w:val="left"/>
      <w:lvlText w:val="(%1)"/>
      <w:numFmt w:val="lowerLetter"/>
      <w:start w:val="3"/>
    </w:lvl>
  </w:abstractNum>
  <w:abstractNum w:abstractNumId="49">
    <w:nsid w:val="519E3149"/>
    <w:multiLevelType w:val="hybridMultilevel"/>
    <w:lvl w:ilvl="0">
      <w:lvlJc w:val="left"/>
      <w:lvlText w:val="(%1)"/>
      <w:numFmt w:val="lowerLetter"/>
      <w:start w:val="1"/>
    </w:lvl>
  </w:abstractNum>
  <w:abstractNum w:abstractNumId="50">
    <w:nsid w:val="2C6E4AFD"/>
    <w:multiLevelType w:val="hybridMultilevel"/>
    <w:lvl w:ilvl="0">
      <w:lvlJc w:val="left"/>
      <w:lvlText w:val="(%1)"/>
      <w:numFmt w:val="lowerLetter"/>
      <w:start w:val="3"/>
    </w:lvl>
  </w:abstractNum>
  <w:abstractNum w:abstractNumId="51">
    <w:nsid w:val="17A1B582"/>
    <w:multiLevelType w:val="hybridMultilevel"/>
    <w:lvl w:ilvl="0">
      <w:lvlJc w:val="left"/>
      <w:lvlText w:val="(%1)"/>
      <w:numFmt w:val="lowerLetter"/>
      <w:start w:val="1"/>
    </w:lvl>
  </w:abstractNum>
  <w:abstractNum w:abstractNumId="52">
    <w:nsid w:val="4DF72E4E"/>
    <w:multiLevelType w:val="hybridMultilevel"/>
    <w:lvl w:ilvl="0">
      <w:lvlJc w:val="left"/>
      <w:lvlText w:val="(%1)"/>
      <w:numFmt w:val="lowerLetter"/>
      <w:start w:val="6"/>
    </w:lvl>
  </w:abstractNum>
  <w:abstractNum w:abstractNumId="53">
    <w:nsid w:val="5046B5A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54">
    <w:nsid w:val="5D888A0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55">
    <w:nsid w:val="2A082C70"/>
    <w:multiLevelType w:val="hybridMultilevel"/>
    <w:lvl w:ilvl="0">
      <w:lvlJc w:val="left"/>
      <w:lvlText w:val="(%1)"/>
      <w:numFmt w:val="lowerLetter"/>
      <w:start w:val="2"/>
    </w:lvl>
  </w:abstractNum>
  <w:abstractNum w:abstractNumId="56">
    <w:nsid w:val="5EC6AFD4"/>
    <w:multiLevelType w:val="hybridMultilevel"/>
    <w:lvl w:ilvl="0">
      <w:lvlJc w:val="left"/>
      <w:lvlText w:val="(%1)"/>
      <w:numFmt w:val="lowerLetter"/>
      <w:start w:val="3"/>
    </w:lvl>
  </w:abstractNum>
  <w:abstractNum w:abstractNumId="57">
    <w:nsid w:val="19E21BB2"/>
    <w:multiLevelType w:val="hybridMultilevel"/>
    <w:lvl w:ilvl="0">
      <w:lvlJc w:val="left"/>
      <w:lvlText w:val="(%1)"/>
      <w:numFmt w:val="lowerLetter"/>
      <w:start w:val="7"/>
    </w:lvl>
  </w:abstractNum>
  <w:abstractNum w:abstractNumId="58">
    <w:nsid w:val="75E0858A"/>
    <w:multiLevelType w:val="hybridMultilevel"/>
    <w:lvl w:ilvl="0">
      <w:lvlJc w:val="left"/>
      <w:lvlText w:val="(%1)"/>
      <w:numFmt w:val="lowerLetter"/>
      <w:start w:val="1"/>
    </w:lvl>
    <w:lvl w:ilvl="1">
      <w:lvlJc w:val="left"/>
      <w:lvlText w:val="(%2)"/>
      <w:numFmt w:val="lowerRoman"/>
      <w:start w:val="1"/>
    </w:lvl>
  </w:abstractNum>
  <w:abstractNum w:abstractNumId="59">
    <w:nsid w:val="57A61A29"/>
    <w:multiLevelType w:val="hybridMultilevel"/>
    <w:lvl w:ilvl="0">
      <w:lvlJc w:val="left"/>
      <w:lvlText w:val="(%1)"/>
      <w:numFmt w:val="lowerLetter"/>
      <w:start w:val="2"/>
    </w:lvl>
  </w:abstractNum>
  <w:abstractNum w:abstractNumId="60">
    <w:nsid w:val="5399C654"/>
    <w:multiLevelType w:val="hybridMultilevel"/>
    <w:lvl w:ilvl="0">
      <w:lvlJc w:val="left"/>
      <w:lvlText w:val="%1"/>
      <w:numFmt w:val="lowerRoman"/>
      <w:start w:val="1"/>
    </w:lvl>
    <w:lvl w:ilvl="1">
      <w:lvlJc w:val="left"/>
      <w:lvlText w:val="(%2)"/>
      <w:numFmt w:val="lowerLetter"/>
      <w:start w:val="1"/>
    </w:lvl>
  </w:abstractNum>
  <w:abstractNum w:abstractNumId="61">
    <w:nsid w:val="20EE1348"/>
    <w:multiLevelType w:val="hybridMultilevel"/>
    <w:lvl w:ilvl="0">
      <w:lvlJc w:val="left"/>
      <w:lvlText w:val="(%1)"/>
      <w:numFmt w:val="lowerRoman"/>
      <w:start w:val="4"/>
    </w:lvl>
    <w:lvl w:ilvl="1">
      <w:lvlJc w:val="left"/>
      <w:lvlText w:val="%2"/>
      <w:numFmt w:val="lowerLetter"/>
      <w:start w:val="1"/>
    </w:lvl>
  </w:abstractNum>
  <w:abstractNum w:abstractNumId="62">
    <w:nsid w:val="4427069A"/>
    <w:multiLevelType w:val="hybridMultilevel"/>
    <w:lvl w:ilvl="0">
      <w:lvlJc w:val="left"/>
      <w:lvlText w:val="(%1)"/>
      <w:numFmt w:val="lowerLetter"/>
      <w:start w:val="2"/>
    </w:lvl>
  </w:abstractNum>
  <w:abstractNum w:abstractNumId="63">
    <w:nsid w:val="B37E80A"/>
    <w:multiLevelType w:val="hybridMultilevel"/>
    <w:lvl w:ilvl="0">
      <w:lvlJc w:val="left"/>
      <w:lvlText w:val="(%1)"/>
      <w:numFmt w:val="lowerLetter"/>
      <w:start w:val="3"/>
    </w:lvl>
  </w:abstractNum>
  <w:abstractNum w:abstractNumId="64">
    <w:nsid w:val="2157F6BC"/>
    <w:multiLevelType w:val="hybridMultilevel"/>
    <w:lvl w:ilvl="0">
      <w:lvlJc w:val="left"/>
      <w:lvlText w:val="(%1)"/>
      <w:numFmt w:val="lowerLetter"/>
      <w:start w:val="1"/>
    </w:lvl>
  </w:abstractNum>
  <w:abstractNum w:abstractNumId="65">
    <w:nsid w:val="704E1DD5"/>
    <w:multiLevelType w:val="hybridMultilevel"/>
    <w:lvl w:ilvl="0">
      <w:lvlJc w:val="left"/>
      <w:lvlText w:val="(%1)"/>
      <w:numFmt w:val="lowerLetter"/>
      <w:start w:val="6"/>
    </w:lvl>
    <w:lvl w:ilvl="1">
      <w:lvlJc w:val="left"/>
      <w:lvlText w:val="(%2)"/>
      <w:numFmt w:val="lowerRoman"/>
      <w:start w:val="1"/>
    </w:lvl>
  </w:abstractNum>
  <w:abstractNum w:abstractNumId="66">
    <w:nsid w:val="57D2F10E"/>
    <w:multiLevelType w:val="hybridMultilevel"/>
    <w:lvl w:ilvl="0">
      <w:lvlJc w:val="left"/>
      <w:lvlText w:val="(%1)"/>
      <w:numFmt w:val="upperLetter"/>
      <w:start w:val="1"/>
    </w:lvl>
    <w:lvl w:ilvl="1">
      <w:lvlJc w:val="left"/>
      <w:lvlText w:val="(%2)"/>
      <w:numFmt w:val="decimal"/>
      <w:start w:val="1"/>
    </w:lvl>
  </w:abstractNum>
  <w:abstractNum w:abstractNumId="67">
    <w:nsid w:val="BFFAE18"/>
    <w:multiLevelType w:val="hybridMultilevel"/>
    <w:lvl w:ilvl="0">
      <w:lvlJc w:val="left"/>
      <w:lvlText w:val="(%1)"/>
      <w:numFmt w:val="upperLetter"/>
      <w:start w:val="3"/>
    </w:lvl>
  </w:abstractNum>
  <w:abstractNum w:abstractNumId="68">
    <w:nsid w:val="E3E47A8"/>
    <w:multiLevelType w:val="hybridMultilevel"/>
    <w:lvl w:ilvl="0">
      <w:lvlJc w:val="left"/>
      <w:lvlText w:val="(%1)"/>
      <w:numFmt w:val="lowerLetter"/>
      <w:start w:val="7"/>
    </w:lvl>
  </w:abstractNum>
  <w:abstractNum w:abstractNumId="69">
    <w:nsid w:val="2E48F044"/>
    <w:multiLevelType w:val="hybridMultilevel"/>
    <w:lvl w:ilvl="0">
      <w:lvlJc w:val="left"/>
      <w:lvlText w:val="(%1)"/>
      <w:numFmt w:val="lowerRoman"/>
      <w:start w:val="1"/>
    </w:lvl>
  </w:abstractNum>
  <w:abstractNum w:abstractNumId="70">
    <w:nsid w:val="49D0FEAC"/>
    <w:multiLevelType w:val="hybridMultilevel"/>
    <w:lvl w:ilvl="0">
      <w:lvlJc w:val="left"/>
      <w:lvlText w:val="(%1)"/>
      <w:numFmt w:val="lowerLetter"/>
      <w:start w:val="1"/>
    </w:lvl>
  </w:abstractNum>
  <w:abstractNum w:abstractNumId="71">
    <w:nsid w:val="4BEE5A5B"/>
    <w:multiLevelType w:val="hybridMultilevel"/>
    <w:lvl w:ilvl="0">
      <w:lvlJc w:val="left"/>
      <w:lvlText w:val="(%1)"/>
      <w:numFmt w:val="upperLetter"/>
      <w:start w:val="2"/>
    </w:lvl>
  </w:abstractNum>
  <w:abstractNum w:abstractNumId="72">
    <w:nsid w:val="5551B9F3"/>
    <w:multiLevelType w:val="hybridMultilevel"/>
    <w:lvl w:ilvl="0">
      <w:lvlJc w:val="left"/>
      <w:lvlText w:val="(%1)"/>
      <w:numFmt w:val="lowerLetter"/>
      <w:start w:val="3"/>
    </w:lvl>
  </w:abstractNum>
  <w:abstractNum w:abstractNumId="73">
    <w:nsid w:val="24F6AB8E"/>
    <w:multiLevelType w:val="hybridMultilevel"/>
    <w:lvl w:ilvl="0">
      <w:lvlJc w:val="left"/>
      <w:lvlText w:val="(%1)"/>
      <w:numFmt w:val="lowerLetter"/>
      <w:start w:val="6"/>
    </w:lvl>
  </w:abstractNum>
  <w:abstractNum w:abstractNumId="74">
    <w:nsid w:val="634C574C"/>
    <w:multiLevelType w:val="hybridMultilevel"/>
    <w:lvl w:ilvl="0">
      <w:lvlJc w:val="left"/>
      <w:lvlText w:val="%1"/>
      <w:numFmt w:val="lowerLetter"/>
      <w:start w:val="1"/>
    </w:lvl>
    <w:lvl w:ilvl="1">
      <w:lvlJc w:val="left"/>
      <w:lvlText w:val="(%2)"/>
      <w:numFmt w:val="lowerLetter"/>
      <w:start w:val="1"/>
    </w:lvl>
  </w:abstractNum>
  <w:abstractNum w:abstractNumId="75">
    <w:nsid w:val="24E99DD7"/>
    <w:multiLevelType w:val="hybridMultilevel"/>
    <w:lvl w:ilvl="0">
      <w:lvlJc w:val="left"/>
      <w:lvlText w:val="(%1)"/>
      <w:numFmt w:val="lowerLetter"/>
      <w:start w:val="24"/>
    </w:lvl>
    <w:lvl w:ilvl="1">
      <w:lvlJc w:val="left"/>
      <w:lvlText w:val="%2"/>
      <w:numFmt w:val="lowerLetter"/>
      <w:start w:val="1"/>
    </w:lvl>
  </w:abstractNum>
  <w:abstractNum w:abstractNumId="76">
    <w:nsid w:val="2A31B62D"/>
    <w:multiLevelType w:val="hybridMultilevel"/>
    <w:lvl w:ilvl="0">
      <w:lvlJc w:val="left"/>
      <w:lvlText w:val="(%1)"/>
      <w:numFmt w:val="lowerLetter"/>
      <w:start w:val="1"/>
    </w:lvl>
  </w:abstractNum>
  <w:abstractNum w:abstractNumId="77">
    <w:nsid w:val="1849C29B"/>
    <w:multiLevelType w:val="hybridMultilevel"/>
    <w:lvl w:ilvl="0">
      <w:lvlJc w:val="left"/>
      <w:lvlText w:val="(%1)"/>
      <w:numFmt w:val="lowerLetter"/>
      <w:start w:val="4"/>
    </w:lvl>
    <w:lvl w:ilvl="1">
      <w:lvlJc w:val="left"/>
      <w:lvlText w:val="(%2)"/>
      <w:numFmt w:val="lowerRoman"/>
      <w:start w:val="1"/>
    </w:lvl>
  </w:abstractNum>
  <w:abstractNum w:abstractNumId="78">
    <w:nsid w:val="7DFF9D09"/>
    <w:multiLevelType w:val="hybridMultilevel"/>
    <w:lvl w:ilvl="0">
      <w:lvlJc w:val="left"/>
      <w:lvlText w:val="(%1)"/>
      <w:numFmt w:val="lowerLetter"/>
      <w:start w:val="1"/>
    </w:lvl>
  </w:abstractNum>
  <w:abstractNum w:abstractNumId="79">
    <w:nsid w:val="754342"/>
    <w:multiLevelType w:val="hybridMultilevel"/>
    <w:lvl w:ilvl="0">
      <w:lvlJc w:val="left"/>
      <w:lvlText w:val="(%1)"/>
      <w:numFmt w:val="lowerLetter"/>
      <w:start w:val="1"/>
    </w:lvl>
  </w:abstractNum>
  <w:abstractNum w:abstractNumId="80">
    <w:nsid w:val="69E7F3E5"/>
    <w:multiLevelType w:val="hybridMultilevel"/>
    <w:lvl w:ilvl="0">
      <w:lvlJc w:val="left"/>
      <w:lvlText w:val="(%1)"/>
      <w:numFmt w:val="lowerLetter"/>
      <w:start w:val="1"/>
    </w:lvl>
  </w:abstractNum>
  <w:abstractNum w:abstractNumId="81">
    <w:nsid w:val="2A6DE806"/>
    <w:multiLevelType w:val="hybridMultilevel"/>
    <w:lvl w:ilvl="0">
      <w:lvlJc w:val="left"/>
      <w:lvlText w:val="(%1)"/>
      <w:numFmt w:val="lowerLetter"/>
      <w:start w:val="1"/>
    </w:lvl>
  </w:abstractNum>
  <w:abstractNum w:abstractNumId="82">
    <w:nsid w:val="1816F8C4"/>
    <w:multiLevelType w:val="hybridMultilevel"/>
    <w:lvl w:ilvl="0">
      <w:lvlJc w:val="left"/>
      <w:lvlText w:val="(%1)"/>
      <w:numFmt w:val="lowerLetter"/>
      <w:start w:val="1"/>
    </w:lvl>
  </w:abstractNum>
  <w:abstractNum w:abstractNumId="83">
    <w:nsid w:val="37DF2233"/>
    <w:multiLevelType w:val="hybridMultilevel"/>
    <w:lvl w:ilvl="0">
      <w:lvlJc w:val="left"/>
      <w:lvlText w:val="(%1)"/>
      <w:numFmt w:val="lowerLetter"/>
      <w:start w:val="1"/>
    </w:lvl>
  </w:abstractNum>
  <w:abstractNum w:abstractNumId="84">
    <w:nsid w:val="7AB49DAF"/>
    <w:multiLevelType w:val="hybridMultilevel"/>
    <w:lvl w:ilvl="0">
      <w:lvlJc w:val="left"/>
      <w:lvlText w:val="(%1)"/>
      <w:numFmt w:val="lowerLetter"/>
      <w:start w:val="5"/>
    </w:lvl>
  </w:abstractNum>
  <w:abstractNum w:abstractNumId="85">
    <w:nsid w:val="759F82CD"/>
    <w:multiLevelType w:val="hybridMultilevel"/>
    <w:lvl w:ilvl="0">
      <w:lvlJc w:val="left"/>
      <w:lvlText w:val="(%1)"/>
      <w:numFmt w:val="lowerLetter"/>
      <w:start w:val="14"/>
    </w:lvl>
  </w:abstractNum>
  <w:abstractNum w:abstractNumId="86">
    <w:nsid w:val="61E74EA3"/>
    <w:multiLevelType w:val="hybridMultilevel"/>
    <w:lvl w:ilvl="0">
      <w:lvlJc w:val="left"/>
      <w:lvlText w:val="(%1)"/>
      <w:numFmt w:val="lowerLetter"/>
      <w:start w:val="1"/>
    </w:lvl>
  </w:abstractNum>
  <w:abstractNum w:abstractNumId="87">
    <w:nsid w:val="597B4D84"/>
    <w:multiLevelType w:val="hybridMultilevel"/>
    <w:lvl w:ilvl="0">
      <w:lvlJc w:val="left"/>
      <w:lvlText w:val="%1"/>
      <w:numFmt w:val="lowerLetter"/>
      <w:start w:val="1"/>
    </w:lvl>
    <w:lvl w:ilvl="1">
      <w:lvlJc w:val="left"/>
      <w:lvlText w:val="(%2)"/>
      <w:numFmt w:val="lowerLetter"/>
      <w:start w:val="1"/>
    </w:lvl>
  </w:abstractNum>
  <w:abstractNum w:abstractNumId="88">
    <w:nsid w:val="F819E7F"/>
    <w:multiLevelType w:val="hybridMultilevel"/>
    <w:lvl w:ilvl="0">
      <w:lvlJc w:val="left"/>
      <w:lvlText w:val="(%1)"/>
      <w:numFmt w:val="lowerLetter"/>
      <w:start w:val="61"/>
    </w:lvl>
    <w:lvl w:ilvl="1">
      <w:lvlJc w:val="left"/>
      <w:lvlText w:val="(%2)"/>
      <w:numFmt w:val="lowerLetter"/>
      <w:start w:val="4"/>
    </w:lvl>
  </w:abstractNum>
  <w:abstractNum w:abstractNumId="89">
    <w:nsid w:val="57C7D42D"/>
    <w:multiLevelType w:val="hybridMultilevel"/>
    <w:lvl w:ilvl="0">
      <w:lvlJc w:val="left"/>
      <w:lvlText w:val="%1"/>
      <w:numFmt w:val="lowerLetter"/>
      <w:start w:val="1"/>
    </w:lvl>
    <w:lvl w:ilvl="1">
      <w:lvlJc w:val="left"/>
      <w:lvlText w:val="(%2)"/>
      <w:numFmt w:val="lowerLetter"/>
      <w:start w:val="6"/>
    </w:lvl>
  </w:abstractNum>
  <w:abstractNum w:abstractNumId="90">
    <w:nsid w:val="312167AD"/>
    <w:multiLevelType w:val="hybridMultilevel"/>
    <w:lvl w:ilvl="0">
      <w:lvlJc w:val="left"/>
      <w:lvlText w:val="(%1)"/>
      <w:numFmt w:val="lowerLetter"/>
      <w:start w:val="9"/>
    </w:lvl>
    <w:lvl w:ilvl="1">
      <w:lvlJc w:val="left"/>
      <w:lvlText w:val="(%2)"/>
      <w:numFmt w:val="lowerLetter"/>
      <w:start w:val="8"/>
    </w:lvl>
  </w:abstractNum>
  <w:abstractNum w:abstractNumId="91">
    <w:nsid w:val="631B64D4"/>
    <w:multiLevelType w:val="hybridMultilevel"/>
    <w:lvl w:ilvl="0">
      <w:lvlJc w:val="left"/>
      <w:lvlText w:val="(%1)"/>
      <w:numFmt w:val="lowerLetter"/>
      <w:start w:val="1"/>
    </w:lvl>
  </w:abstractNum>
  <w:abstractNum w:abstractNumId="92">
    <w:nsid w:val="78B5E776"/>
    <w:multiLevelType w:val="hybridMultilevel"/>
    <w:lvl w:ilvl="0">
      <w:lvlJc w:val="left"/>
      <w:lvlText w:val="(%1)"/>
      <w:numFmt w:val="lowerLetter"/>
      <w:start w:val="3"/>
    </w:lvl>
  </w:abstractNum>
  <w:abstractNum w:abstractNumId="93">
    <w:nsid w:val="75486E47"/>
    <w:multiLevelType w:val="hybridMultilevel"/>
    <w:lvl w:ilvl="0">
      <w:lvlJc w:val="left"/>
      <w:lvlText w:val="(%1)"/>
      <w:numFmt w:val="lowerLetter"/>
      <w:start w:val="2"/>
    </w:lvl>
  </w:abstractNum>
  <w:abstractNum w:abstractNumId="94">
    <w:nsid w:val="6E534CDE"/>
    <w:multiLevelType w:val="hybridMultilevel"/>
    <w:lvl w:ilvl="0">
      <w:lvlJc w:val="left"/>
      <w:lvlText w:val="(%1)"/>
      <w:numFmt w:val="lowerLetter"/>
      <w:start w:val="2"/>
    </w:lvl>
  </w:abstractNum>
  <w:abstractNum w:abstractNumId="95">
    <w:nsid w:val="1A0DDE32"/>
    <w:multiLevelType w:val="hybridMultilevel"/>
    <w:lvl w:ilvl="0">
      <w:lvlJc w:val="left"/>
      <w:lvlText w:val="(%1)"/>
      <w:numFmt w:val="lowerLetter"/>
      <w:start w:val="1"/>
    </w:lvl>
  </w:abstractNum>
  <w:abstractNum w:abstractNumId="96">
    <w:nsid w:val="65968C1C"/>
    <w:multiLevelType w:val="hybridMultilevel"/>
    <w:lvl w:ilvl="0">
      <w:lvlJc w:val="left"/>
      <w:lvlText w:val="%1"/>
      <w:numFmt w:val="lowerLetter"/>
      <w:start w:val="1"/>
    </w:lvl>
    <w:lvl w:ilvl="1">
      <w:lvlJc w:val="left"/>
      <w:lvlText w:val="(%2)"/>
      <w:numFmt w:val="lowerLetter"/>
      <w:start w:val="1"/>
    </w:lvl>
  </w:abstractNum>
  <w:abstractNum w:abstractNumId="97">
    <w:nsid w:val="46263DEC"/>
    <w:multiLevelType w:val="hybridMultilevel"/>
    <w:lvl w:ilvl="0">
      <w:lvlJc w:val="left"/>
      <w:lvlText w:val="(%1)"/>
      <w:numFmt w:val="lowerLetter"/>
      <w:start w:val="9"/>
    </w:lvl>
    <w:lvl w:ilvl="1">
      <w:lvlJc w:val="left"/>
      <w:lvlText w:val="(%2)"/>
      <w:numFmt w:val="lowerLetter"/>
      <w:start w:val="3"/>
    </w:lvl>
  </w:abstractNum>
  <w:abstractNum w:abstractNumId="98">
    <w:nsid w:val="260D8C4A"/>
    <w:multiLevelType w:val="hybridMultilevel"/>
    <w:lvl w:ilvl="0">
      <w:lvlJc w:val="left"/>
      <w:lvlText w:val="(%1)"/>
      <w:numFmt w:val="lowerLetter"/>
      <w:start w:val="4"/>
    </w:lvl>
  </w:abstractNum>
  <w:abstractNum w:abstractNumId="99">
    <w:nsid w:val="73D4D3C4"/>
    <w:multiLevelType w:val="hybridMultilevel"/>
    <w:lvl w:ilvl="0">
      <w:lvlJc w:val="left"/>
      <w:lvlText w:val="%1"/>
      <w:numFmt w:val="lowerLetter"/>
      <w:start w:val="1"/>
    </w:lvl>
    <w:lvl w:ilvl="1">
      <w:lvlJc w:val="left"/>
      <w:lvlText w:val="(%2)"/>
      <w:numFmt w:val="lowerLetter"/>
      <w:start w:val="1"/>
    </w:lvl>
  </w:abstractNum>
  <w:abstractNum w:abstractNumId="100">
    <w:nsid w:val="746F2E30"/>
    <w:multiLevelType w:val="hybridMultilevel"/>
    <w:lvl w:ilvl="0">
      <w:lvlJc w:val="left"/>
      <w:lvlText w:val="(%1)"/>
      <w:numFmt w:val="lowerLetter"/>
      <w:start w:val="9"/>
    </w:lvl>
    <w:lvl w:ilvl="1">
      <w:lvlJc w:val="left"/>
      <w:lvlText w:val="(%2)"/>
      <w:numFmt w:val="lowerLetter"/>
      <w:start w:val="4"/>
    </w:lvl>
  </w:abstractNum>
  <w:abstractNum w:abstractNumId="101">
    <w:nsid w:val="6FDE8AF6"/>
    <w:multiLevelType w:val="hybridMultilevel"/>
    <w:lvl w:ilvl="0">
      <w:lvlJc w:val="left"/>
      <w:lvlText w:val="%1"/>
      <w:numFmt w:val="lowerLetter"/>
      <w:start w:val="1"/>
    </w:lvl>
    <w:lvl w:ilvl="1">
      <w:lvlJc w:val="left"/>
      <w:lvlText w:val="(%2)"/>
      <w:numFmt w:val="lowerLetter"/>
      <w:start w:val="6"/>
    </w:lvl>
  </w:abstractNum>
  <w:abstractNum w:abstractNumId="102">
    <w:nsid w:val="3FC32E20"/>
    <w:multiLevelType w:val="hybridMultilevel"/>
    <w:lvl w:ilvl="0">
      <w:lvlJc w:val="left"/>
      <w:lvlText w:val="(%1)"/>
      <w:numFmt w:val="lowerLetter"/>
      <w:start w:val="35"/>
    </w:lvl>
    <w:lvl w:ilvl="1">
      <w:lvlJc w:val="left"/>
      <w:lvlText w:val="(%2)"/>
      <w:numFmt w:val="lowerLetter"/>
      <w:start w:val="11"/>
    </w:lvl>
  </w:abstractNum>
  <w:abstractNum w:abstractNumId="103">
    <w:nsid w:val="49C0E823"/>
    <w:multiLevelType w:val="hybridMultilevel"/>
    <w:lvl w:ilvl="0">
      <w:lvlJc w:val="left"/>
      <w:lvlText w:val="(%1)"/>
      <w:numFmt w:val="lowerLetter"/>
      <w:start w:val="14"/>
    </w:lvl>
  </w:abstractNum>
  <w:abstractNum w:abstractNumId="104">
    <w:nsid w:val="14D53685"/>
    <w:multiLevelType w:val="hybridMultilevel"/>
    <w:lvl w:ilvl="0">
      <w:lvlJc w:val="left"/>
      <w:lvlText w:val="(%1)"/>
      <w:numFmt w:val="lowerLetter"/>
      <w:start w:val="1"/>
    </w:lvl>
  </w:abstractNum>
  <w:abstractNum w:abstractNumId="105">
    <w:nsid w:val="230F856C"/>
    <w:multiLevelType w:val="hybridMultilevel"/>
    <w:lvl w:ilvl="0">
      <w:lvlJc w:val="left"/>
      <w:lvlText w:val="(%1)"/>
      <w:numFmt w:val="lowerLetter"/>
      <w:start w:val="10"/>
    </w:lvl>
  </w:abstractNum>
  <w:abstractNum w:abstractNumId="106">
    <w:nsid w:val="6EAA85FB"/>
    <w:multiLevelType w:val="hybridMultilevel"/>
    <w:lvl w:ilvl="0">
      <w:lvlJc w:val="left"/>
      <w:lvlText w:val="(%1)"/>
      <w:numFmt w:val="lowerLetter"/>
      <w:start w:val="1"/>
    </w:lvl>
  </w:abstractNum>
  <w:abstractNum w:abstractNumId="107">
    <w:nsid w:val="3F06ECB2"/>
    <w:multiLevelType w:val="hybridMultilevel"/>
    <w:lvl w:ilvl="0">
      <w:lvlJc w:val="left"/>
      <w:lvlText w:val="(%1)"/>
      <w:numFmt w:val="lowerLetter"/>
      <w:start w:val="1"/>
    </w:lvl>
  </w:abstractNum>
  <w:abstractNum w:abstractNumId="108">
    <w:nsid w:val="3B594807"/>
    <w:multiLevelType w:val="hybridMultilevel"/>
    <w:lvl w:ilvl="0">
      <w:lvlJc w:val="left"/>
      <w:lvlText w:val="(%1)"/>
      <w:numFmt w:val="lowerLetter"/>
      <w:start w:val="13"/>
    </w:lvl>
  </w:abstractNum>
  <w:abstractNum w:abstractNumId="109">
    <w:nsid w:val="6CAA2304"/>
    <w:multiLevelType w:val="hybridMultilevel"/>
    <w:lvl w:ilvl="0">
      <w:lvlJc w:val="left"/>
      <w:lvlText w:val="(%1)"/>
      <w:numFmt w:val="lowerLetter"/>
      <w:start w:val="1"/>
    </w:lvl>
  </w:abstractNum>
  <w:abstractNum w:abstractNumId="110">
    <w:nsid w:val="3F7C2FF4"/>
    <w:multiLevelType w:val="hybridMultilevel"/>
    <w:lvl w:ilvl="0">
      <w:lvlJc w:val="left"/>
      <w:lvlText w:val="(%1)"/>
      <w:numFmt w:val="lowerLetter"/>
      <w:start w:val="13"/>
    </w:lvl>
  </w:abstractNum>
  <w:abstractNum w:abstractNumId="111">
    <w:nsid w:val="25413BEC"/>
    <w:multiLevelType w:val="hybridMultilevel"/>
    <w:lvl w:ilvl="0">
      <w:lvlJc w:val="left"/>
      <w:lvlText w:val="(%1)"/>
      <w:numFmt w:val="lowerLetter"/>
      <w:start w:val="1"/>
    </w:lvl>
    <w:lvl w:ilvl="1">
      <w:lvlJc w:val="left"/>
      <w:lvlText w:val="(%2)"/>
      <w:numFmt w:val="lowerRoman"/>
      <w:start w:val="1"/>
    </w:lvl>
  </w:abstractNum>
  <w:abstractNum w:abstractNumId="112">
    <w:nsid w:val="17180B0B"/>
    <w:multiLevelType w:val="hybridMultilevel"/>
    <w:lvl w:ilvl="0">
      <w:lvlJc w:val="left"/>
      <w:lvlText w:val="(%1)"/>
      <w:numFmt w:val="lowerLetter"/>
      <w:start w:val="1"/>
    </w:lvl>
  </w:abstractNum>
  <w:abstractNum w:abstractNumId="113">
    <w:nsid w:val="579328B9"/>
    <w:multiLevelType w:val="hybridMultilevel"/>
    <w:lvl w:ilvl="0">
      <w:lvlJc w:val="left"/>
      <w:lvlText w:val="%1"/>
      <w:numFmt w:val="lowerLetter"/>
      <w:start w:val="1"/>
    </w:lvl>
    <w:lvl w:ilvl="1">
      <w:lvlJc w:val="left"/>
      <w:lvlText w:val="(%2)"/>
      <w:numFmt w:val="lowerLetter"/>
      <w:start w:val="1"/>
    </w:lvl>
  </w:abstractNum>
  <w:abstractNum w:abstractNumId="114">
    <w:nsid w:val="5D205E20"/>
    <w:multiLevelType w:val="hybridMultilevel"/>
    <w:lvl w:ilvl="0">
      <w:lvlJc w:val="left"/>
      <w:lvlText w:val="(%1)"/>
      <w:numFmt w:val="lowerLetter"/>
      <w:start w:val="25"/>
    </w:lvl>
    <w:lvl w:ilvl="1">
      <w:lvlJc w:val="left"/>
      <w:lvlText w:val="%2"/>
      <w:numFmt w:val="lowerLetter"/>
      <w:start w:val="1"/>
    </w:lvl>
  </w:abstractNum>
  <w:abstractNum w:abstractNumId="115">
    <w:nsid w:val="11CCA8BA"/>
    <w:multiLevelType w:val="hybridMultilevel"/>
    <w:lvl w:ilvl="0">
      <w:lvlJc w:val="left"/>
      <w:lvlText w:val="%1"/>
      <w:numFmt w:val="lowerLetter"/>
      <w:start w:val="1"/>
    </w:lvl>
    <w:lvl w:ilvl="1">
      <w:lvlJc w:val="left"/>
      <w:lvlText w:val="(%2)"/>
      <w:numFmt w:val="lowerLetter"/>
      <w:start w:val="8"/>
    </w:lvl>
  </w:abstractNum>
  <w:abstractNum w:abstractNumId="116">
    <w:nsid w:val="4D32AB86"/>
    <w:multiLevelType w:val="hybridMultilevel"/>
    <w:lvl w:ilvl="0">
      <w:lvlJc w:val="left"/>
      <w:lvlText w:val="(%1)"/>
      <w:numFmt w:val="lowerLetter"/>
      <w:start w:val="35"/>
    </w:lvl>
    <w:lvl w:ilvl="1">
      <w:lvlJc w:val="left"/>
      <w:lvlText w:val="(%2)"/>
      <w:numFmt w:val="lowerLetter"/>
      <w:start w:val="10"/>
    </w:lvl>
  </w:abstractNum>
  <w:abstractNum w:abstractNumId="117">
    <w:nsid w:val="3F07ACC3"/>
    <w:multiLevelType w:val="hybridMultilevel"/>
    <w:lvl w:ilvl="0">
      <w:lvlJc w:val="left"/>
      <w:lvlText w:val="(%1)"/>
      <w:numFmt w:val="lowerLetter"/>
      <w:start w:val="16"/>
    </w:lvl>
  </w:abstractNum>
  <w:abstractNum w:abstractNumId="118">
    <w:nsid w:val="6B47F63E"/>
    <w:multiLevelType w:val="hybridMultilevel"/>
    <w:lvl w:ilvl="0">
      <w:lvlJc w:val="left"/>
      <w:lvlText w:val="(%1)"/>
      <w:numFmt w:val="lowerLetter"/>
      <w:start w:val="1"/>
    </w:lvl>
  </w:abstractNum>
  <w:abstractNum w:abstractNumId="119">
    <w:nsid w:val="5CB44A05"/>
    <w:multiLevelType w:val="hybridMultilevel"/>
    <w:lvl w:ilvl="0">
      <w:lvlJc w:val="left"/>
      <w:lvlText w:val="(%1)"/>
      <w:numFmt w:val="lowerLetter"/>
      <w:start w:val="3"/>
    </w:lvl>
    <w:lvl w:ilvl="1">
      <w:lvlJc w:val="left"/>
      <w:lvlText w:val="(%2)"/>
      <w:numFmt w:val="lowerRoman"/>
      <w:start w:val="1"/>
    </w:lvl>
  </w:abstractNum>
  <w:abstractNum w:abstractNumId="120">
    <w:nsid w:val="16CF80F1"/>
    <w:multiLevelType w:val="hybridMultilevel"/>
    <w:lvl w:ilvl="0">
      <w:lvlJc w:val="left"/>
      <w:lvlText w:val="(%1)"/>
      <w:numFmt w:val="lowerLetter"/>
      <w:start w:val="5"/>
    </w:lvl>
    <w:lvl w:ilvl="1">
      <w:lvlJc w:val="left"/>
      <w:lvlText w:val="(%2)"/>
      <w:numFmt w:val="lowerRoman"/>
      <w:start w:val="1"/>
    </w:lvl>
  </w:abstractNum>
  <w:abstractNum w:abstractNumId="121">
    <w:nsid w:val="1C695DEC"/>
    <w:multiLevelType w:val="hybridMultilevel"/>
    <w:lvl w:ilvl="0">
      <w:lvlJc w:val="left"/>
      <w:lvlText w:val="(%1)"/>
      <w:numFmt w:val="lowerLetter"/>
      <w:start w:val="7"/>
    </w:lvl>
  </w:abstractNum>
  <w:abstractNum w:abstractNumId="122">
    <w:nsid w:val="3FCFAED9"/>
    <w:multiLevelType w:val="hybridMultilevel"/>
    <w:lvl w:ilvl="0">
      <w:lvlJc w:val="left"/>
      <w:lvlText w:val="(%1)"/>
      <w:numFmt w:val="lowerLetter"/>
      <w:start w:val="1"/>
    </w:lvl>
  </w:abstractNum>
  <w:abstractNum w:abstractNumId="123">
    <w:nsid w:val="F856867"/>
    <w:multiLevelType w:val="hybridMultilevel"/>
    <w:lvl w:ilvl="0">
      <w:lvlJc w:val="left"/>
      <w:lvlText w:val="(%1)"/>
      <w:numFmt w:val="lowerLetter"/>
      <w:start w:val="35"/>
    </w:lvl>
    <w:lvl w:ilvl="1">
      <w:lvlJc w:val="left"/>
      <w:lvlText w:val="(%2)"/>
      <w:numFmt w:val="lowerLetter"/>
      <w:start w:val="2"/>
    </w:lvl>
  </w:abstractNum>
  <w:abstractNum w:abstractNumId="124">
    <w:nsid w:val="11B1CC33"/>
    <w:multiLevelType w:val="hybridMultilevel"/>
    <w:lvl w:ilvl="0">
      <w:lvlJc w:val="left"/>
      <w:lvlText w:val="(%1)"/>
      <w:numFmt w:val="lowerLetter"/>
      <w:start w:val="1"/>
    </w:lvl>
  </w:abstractNum>
  <w:abstractNum w:abstractNumId="125">
    <w:nsid w:val="2E22FBB7"/>
    <w:multiLevelType w:val="hybridMultilevel"/>
    <w:lvl w:ilvl="0">
      <w:lvlJc w:val="left"/>
      <w:lvlText w:val="(%1)"/>
      <w:numFmt w:val="lowerLetter"/>
      <w:start w:val="4"/>
    </w:lvl>
  </w:abstractNum>
  <w:abstractNum w:abstractNumId="126">
    <w:nsid w:val="29934699"/>
    <w:multiLevelType w:val="hybridMultilevel"/>
    <w:lvl w:ilvl="0">
      <w:lvlJc w:val="left"/>
      <w:lvlText w:val="(%1)"/>
      <w:numFmt w:val="lowerLetter"/>
      <w:start w:val="6"/>
    </w:lvl>
  </w:abstractNum>
  <w:abstractNum w:abstractNumId="127">
    <w:nsid w:val="77485850"/>
    <w:multiLevelType w:val="hybridMultilevel"/>
    <w:lvl w:ilvl="0">
      <w:lvlJc w:val="left"/>
      <w:lvlText w:val="(%1)"/>
      <w:numFmt w:val="lowerLetter"/>
      <w:start w:val="1"/>
    </w:lvl>
  </w:abstractNum>
  <w:abstractNum w:abstractNumId="128">
    <w:nsid w:val="744939A3"/>
    <w:multiLevelType w:val="hybridMultilevel"/>
    <w:lvl w:ilvl="0">
      <w:lvlJc w:val="left"/>
      <w:lvlText w:val="(%1)"/>
      <w:numFmt w:val="upperLetter"/>
      <w:start w:val="2"/>
    </w:lvl>
  </w:abstractNum>
  <w:abstractNum w:abstractNumId="129">
    <w:nsid w:val="4FA0D2E3"/>
    <w:multiLevelType w:val="hybridMultilevel"/>
    <w:lvl w:ilvl="0">
      <w:lvlJc w:val="left"/>
      <w:lvlText w:val="(%1)"/>
      <w:numFmt w:val="lowerLetter"/>
      <w:start w:val="1"/>
    </w:lvl>
  </w:abstractNum>
  <w:abstractNum w:abstractNumId="130">
    <w:nsid w:val="6B1D2C1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1">
    <w:nsid w:val="68B867D3"/>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2"/>
    </w:lvl>
  </w:abstractNum>
  <w:abstractNum w:abstractNumId="132">
    <w:nsid w:val="3F7F5DD9"/>
    <w:multiLevelType w:val="hybridMultilevel"/>
    <w:lvl w:ilvl="0">
      <w:lvlJc w:val="left"/>
      <w:lvlText w:val="(%1)"/>
      <w:numFmt w:val="lowerLetter"/>
      <w:start w:val="1"/>
    </w:lvl>
  </w:abstractNum>
  <w:abstractNum w:abstractNumId="133">
    <w:nsid w:val="2AE05A34"/>
    <w:multiLevelType w:val="hybridMultilevel"/>
    <w:lvl w:ilvl="0">
      <w:lvlJc w:val="left"/>
      <w:lvlText w:val="(%1)"/>
      <w:numFmt w:val="lowerLetter"/>
      <w:start w:val="2"/>
    </w:lvl>
  </w:abstractNum>
  <w:abstractNum w:abstractNumId="134">
    <w:nsid w:val="32794FF7"/>
    <w:multiLevelType w:val="hybridMultilevel"/>
    <w:lvl w:ilvl="0">
      <w:lvlJc w:val="left"/>
      <w:lvlText w:val="(%1)"/>
      <w:numFmt w:val="lowerLetter"/>
      <w:start w:val="1"/>
    </w:lvl>
    <w:lvl w:ilvl="1">
      <w:lvlJc w:val="left"/>
      <w:lvlText w:val="(%2)"/>
      <w:numFmt w:val="lowerRoman"/>
      <w:start w:val="1"/>
    </w:lvl>
  </w:abstractNum>
  <w:abstractNum w:abstractNumId="135">
    <w:nsid w:val="5454945E"/>
    <w:multiLevelType w:val="hybridMultilevel"/>
    <w:lvl w:ilvl="0">
      <w:lvlJc w:val="left"/>
      <w:lvlText w:val="(%1)"/>
      <w:numFmt w:val="lowerLetter"/>
      <w:start w:val="2"/>
    </w:lvl>
  </w:abstractNum>
  <w:abstractNum w:abstractNumId="136">
    <w:nsid w:val="4DEFDFA0"/>
    <w:multiLevelType w:val="hybridMultilevel"/>
    <w:lvl w:ilvl="0">
      <w:lvlJc w:val="left"/>
      <w:lvlText w:val="(%1)"/>
      <w:numFmt w:val="lowerLetter"/>
      <w:start w:val="1"/>
    </w:lvl>
    <w:lvl w:ilvl="1">
      <w:lvlJc w:val="left"/>
      <w:lvlText w:val="(%2)"/>
      <w:numFmt w:val="lowerLetter"/>
      <w:start w:val="9"/>
    </w:lvl>
  </w:abstractNum>
  <w:abstractNum w:abstractNumId="137">
    <w:nsid w:val="2123D5F2"/>
    <w:multiLevelType w:val="hybridMultilevel"/>
    <w:lvl w:ilvl="0">
      <w:lvlJc w:val="left"/>
      <w:lvlText w:val="(%1)"/>
      <w:numFmt w:val="lowerRoman"/>
      <w:start w:val="2"/>
    </w:lvl>
  </w:abstractNum>
  <w:abstractNum w:abstractNumId="138">
    <w:nsid w:val="135B8110"/>
    <w:multiLevelType w:val="hybridMultilevel"/>
    <w:lvl w:ilvl="0">
      <w:lvlJc w:val="left"/>
      <w:lvlText w:val="(%1)"/>
      <w:numFmt w:val="lowerRoman"/>
      <w:start w:val="3"/>
    </w:lvl>
  </w:abstractNum>
  <w:abstractNum w:abstractNumId="139">
    <w:nsid w:val="94927A8"/>
    <w:multiLevelType w:val="hybridMultilevel"/>
    <w:lvl w:ilvl="0">
      <w:lvlJc w:val="left"/>
      <w:lvlText w:val="(%1)"/>
      <w:numFmt w:val="lowerLetter"/>
      <w:start w:val="2"/>
    </w:lvl>
  </w:abstractNum>
  <w:abstractNum w:abstractNumId="140">
    <w:nsid w:val="DCDF8F6"/>
    <w:multiLevelType w:val="hybridMultilevel"/>
    <w:lvl w:ilvl="0">
      <w:lvlJc w:val="left"/>
      <w:lvlText w:val="(%1)"/>
      <w:numFmt w:val="lowerLetter"/>
      <w:start w:val="3"/>
    </w:lvl>
  </w:abstractNum>
  <w:abstractNum w:abstractNumId="141">
    <w:nsid w:val="52D7B105"/>
    <w:multiLevelType w:val="hybridMultilevel"/>
    <w:lvl w:ilvl="0">
      <w:lvlJc w:val="left"/>
      <w:lvlText w:val="%1"/>
      <w:numFmt w:val="upperLetter"/>
      <w:start w:val="1"/>
    </w:lvl>
    <w:lvl w:ilvl="1">
      <w:lvlJc w:val="left"/>
      <w:lvlText w:val="(%2)"/>
      <w:numFmt w:val="lowerLetter"/>
      <w:start w:val="1"/>
    </w:lvl>
  </w:abstractNum>
  <w:abstractNum w:abstractNumId="142">
    <w:nsid w:val="2E8A6394"/>
    <w:multiLevelType w:val="hybridMultilevel"/>
    <w:lvl w:ilvl="0">
      <w:lvlJc w:val="left"/>
      <w:lvlText w:val="(%1)"/>
      <w:numFmt w:val="upperLetter"/>
      <w:start w:val="5"/>
    </w:lvl>
    <w:lvl w:ilvl="1">
      <w:lvlJc w:val="left"/>
      <w:lvlText w:val="%2"/>
      <w:numFmt w:val="lowerLetter"/>
      <w:start w:val="1"/>
    </w:lvl>
  </w:abstractNum>
  <w:abstractNum w:abstractNumId="143">
    <w:nsid w:val="24E60401"/>
    <w:multiLevelType w:val="hybridMultilevel"/>
    <w:lvl w:ilvl="0">
      <w:lvlJc w:val="left"/>
      <w:lvlText w:val="(%1)"/>
      <w:numFmt w:val="lowerLetter"/>
      <w:start w:val="3"/>
    </w:lvl>
  </w:abstractNum>
  <w:abstractNum w:abstractNumId="144">
    <w:nsid w:val="2A6AD9BE"/>
    <w:multiLevelType w:val="hybridMultilevel"/>
    <w:lvl w:ilvl="0">
      <w:lvlJc w:val="left"/>
      <w:lvlText w:val="(%1)"/>
      <w:numFmt w:val="lowerLetter"/>
      <w:start w:val="4"/>
    </w:lvl>
  </w:abstractNum>
  <w:abstractNum w:abstractNumId="145">
    <w:nsid w:val="BAAC1B4"/>
    <w:multiLevelType w:val="hybridMultilevel"/>
    <w:lvl w:ilvl="0">
      <w:lvlJc w:val="left"/>
      <w:lvlText w:val="(%1)"/>
      <w:numFmt w:val="lowerLetter"/>
      <w:start w:val="1"/>
    </w:lvl>
  </w:abstractNum>
  <w:abstractNum w:abstractNumId="146">
    <w:nsid w:val="36B2ACBC"/>
    <w:multiLevelType w:val="hybridMultilevel"/>
    <w:lvl w:ilvl="0">
      <w:lvlJc w:val="left"/>
      <w:lvlText w:val="(%1)"/>
      <w:numFmt w:val="lowerLetter"/>
      <w:start w:val="35"/>
    </w:lvl>
    <w:lvl w:ilvl="1">
      <w:lvlJc w:val="left"/>
      <w:lvlText w:val="(%2)"/>
      <w:numFmt w:val="lowerLetter"/>
      <w:start w:val="3"/>
    </w:lvl>
  </w:abstractNum>
  <w:abstractNum w:abstractNumId="147">
    <w:nsid w:val="779D8544"/>
    <w:multiLevelType w:val="hybridMultilevel"/>
    <w:lvl w:ilvl="0">
      <w:lvlJc w:val="left"/>
      <w:lvlText w:val="(%1)"/>
      <w:numFmt w:val="lowerLetter"/>
      <w:start w:val="5"/>
    </w:lvl>
  </w:abstractNum>
  <w:abstractNum w:abstractNumId="148">
    <w:nsid w:val="4AB26E78"/>
    <w:multiLevelType w:val="hybridMultilevel"/>
    <w:lvl w:ilvl="0">
      <w:lvlJc w:val="left"/>
      <w:lvlText w:val="(%1)"/>
      <w:numFmt w:val="lowerLetter"/>
      <w:start w:val="1"/>
    </w:lvl>
    <w:lvl w:ilvl="1">
      <w:lvlJc w:val="left"/>
      <w:lvlText w:val="(%2)"/>
      <w:numFmt w:val="lowerRoman"/>
    </w:lvl>
    <w:lvl w:ilvl="2">
      <w:lvlJc w:val="left"/>
      <w:lvlText w:val="(%3)"/>
      <w:numFmt w:val="upperLetter"/>
      <w:start w:val="1"/>
    </w:lvl>
  </w:abstractNum>
  <w:abstractNum w:abstractNumId="149">
    <w:nsid w:val="21FAA2FA"/>
    <w:multiLevelType w:val="hybridMultilevel"/>
    <w:lvl w:ilvl="0">
      <w:lvlJc w:val="left"/>
      <w:lvlText w:val="(%1)"/>
      <w:numFmt w:val="upperLetter"/>
      <w:start w:val="2"/>
    </w:lvl>
  </w:abstractNum>
  <w:abstractNum w:abstractNumId="150">
    <w:nsid w:val="5451CF49"/>
    <w:multiLevelType w:val="hybridMultilevel"/>
    <w:lvl w:ilvl="0">
      <w:lvlJc w:val="left"/>
      <w:lvlText w:val="(%1)"/>
      <w:numFmt w:val="lowerRoman"/>
      <w:start w:val="2"/>
    </w:lvl>
  </w:abstractNum>
  <w:abstractNum w:abstractNumId="151">
    <w:nsid w:val="6181EF69"/>
    <w:multiLevelType w:val="hybridMultilevel"/>
    <w:lvl w:ilvl="0">
      <w:lvlJc w:val="left"/>
      <w:lvlText w:val="%1"/>
      <w:numFmt w:val="lowerLetter"/>
      <w:start w:val="1"/>
    </w:lvl>
    <w:lvl w:ilvl="1">
      <w:lvlJc w:val="left"/>
      <w:lvlText w:val="(%2)"/>
      <w:numFmt w:val="lowerRoman"/>
      <w:start w:val="3"/>
    </w:lvl>
  </w:abstractNum>
  <w:abstractNum w:abstractNumId="152">
    <w:nsid w:val="3E6400E6"/>
    <w:multiLevelType w:val="hybridMultilevel"/>
    <w:lvl w:ilvl="0">
      <w:lvlJc w:val="left"/>
      <w:lvlText w:val="(%1)"/>
      <w:numFmt w:val="lowerLetter"/>
      <w:start w:val="3"/>
    </w:lvl>
    <w:lvl w:ilvl="1">
      <w:lvlJc w:val="left"/>
      <w:lvlText w:val="%2"/>
      <w:numFmt w:val="lowerRoman"/>
      <w:start w:val="1"/>
    </w:lvl>
  </w:abstractNum>
  <w:abstractNum w:abstractNumId="153">
    <w:nsid w:val="14217E23"/>
    <w:multiLevelType w:val="hybridMultilevel"/>
    <w:lvl w:ilvl="0">
      <w:lvlJc w:val="left"/>
      <w:lvlText w:val="(%1)"/>
      <w:numFmt w:val="lowerLetter"/>
      <w:start w:val="4"/>
    </w:lvl>
  </w:abstractNum>
  <w:abstractNum w:abstractNumId="154">
    <w:nsid w:val="710757D0"/>
    <w:multiLevelType w:val="hybridMultilevel"/>
    <w:lvl w:ilvl="0">
      <w:lvlJc w:val="left"/>
      <w:lvlText w:val="(%1)"/>
      <w:numFmt w:val="lowerLetter"/>
      <w:start w:val="1"/>
    </w:lvl>
  </w:abstractNum>
  <w:abstractNum w:abstractNumId="155">
    <w:nsid w:val="5015CD1A"/>
    <w:multiLevelType w:val="hybridMultilevel"/>
    <w:lvl w:ilvl="0">
      <w:lvlJc w:val="left"/>
      <w:lvlText w:val="(%1)"/>
      <w:numFmt w:val="lowerLetter"/>
      <w:start w:val="1"/>
    </w:lvl>
  </w:abstractNum>
  <w:abstractNum w:abstractNumId="156">
    <w:nsid w:val="424479DA"/>
    <w:multiLevelType w:val="hybridMultilevel"/>
    <w:lvl w:ilvl="0">
      <w:lvlJc w:val="left"/>
      <w:lvlText w:val="(%1)"/>
      <w:numFmt w:val="lowerRoman"/>
      <w:start w:val="10"/>
    </w:lvl>
  </w:abstractNum>
  <w:abstractNum w:abstractNumId="157">
    <w:nsid w:val="1A9A9E69"/>
    <w:multiLevelType w:val="hybridMultilevel"/>
    <w:lvl w:ilvl="0">
      <w:lvlJc w:val="left"/>
      <w:lvlText w:val="(%1)"/>
      <w:numFmt w:val="lowerLetter"/>
      <w:start w:val="2"/>
    </w:lvl>
  </w:abstractNum>
  <w:abstractNum w:abstractNumId="158">
    <w:nsid w:val="475E256A"/>
    <w:multiLevelType w:val="hybridMultilevel"/>
    <w:lvl w:ilvl="0">
      <w:lvlJc w:val="left"/>
      <w:lvlText w:val="(%1)"/>
      <w:numFmt w:val="lowerLetter"/>
      <w:start w:val="1"/>
    </w:lvl>
  </w:abstractNum>
  <w:abstractNum w:abstractNumId="159">
    <w:nsid w:val="368DB37E"/>
    <w:multiLevelType w:val="hybridMultilevel"/>
    <w:lvl w:ilvl="0">
      <w:lvlJc w:val="left"/>
      <w:lvlText w:val="(%1)"/>
      <w:numFmt w:val="lowerLetter"/>
      <w:start w:val="2"/>
    </w:lvl>
    <w:lvl w:ilvl="1">
      <w:lvlJc w:val="left"/>
      <w:lvlText w:val="(%2)"/>
      <w:numFmt w:val="lowerRoman"/>
      <w:start w:val="1"/>
    </w:lvl>
  </w:abstractNum>
  <w:abstractNum w:abstractNumId="160">
    <w:nsid w:val="6A3B714C"/>
    <w:multiLevelType w:val="hybridMultilevel"/>
    <w:lvl w:ilvl="0">
      <w:lvlJc w:val="left"/>
      <w:lvlText w:val="(%1)"/>
      <w:numFmt w:val="lowerLetter"/>
      <w:start w:val="1"/>
    </w:lvl>
  </w:abstractNum>
  <w:abstractNum w:abstractNumId="161">
    <w:nsid w:val="327B517E"/>
    <w:multiLevelType w:val="hybridMultilevel"/>
    <w:lvl w:ilvl="0">
      <w:lvlJc w:val="left"/>
      <w:lvlText w:val="(%1)"/>
      <w:numFmt w:val="lowerLetter"/>
      <w:start w:val="3"/>
    </w:lvl>
  </w:abstractNum>
  <w:abstractNum w:abstractNumId="162">
    <w:nsid w:val="1F461B51"/>
    <w:multiLevelType w:val="hybridMultilevel"/>
    <w:lvl w:ilvl="0">
      <w:lvlJc w:val="left"/>
      <w:lvlText w:val="(%1)"/>
      <w:numFmt w:val="lowerLetter"/>
      <w:start w:val="1"/>
    </w:lvl>
  </w:abstractNum>
  <w:abstractNum w:abstractNumId="163">
    <w:nsid w:val="29BACF25"/>
    <w:multiLevelType w:val="hybridMultilevel"/>
    <w:lvl w:ilvl="0">
      <w:lvlJc w:val="left"/>
      <w:lvlText w:val="(%1)"/>
      <w:numFmt w:val="lowerLetter"/>
      <w:start w:val="2"/>
    </w:lvl>
  </w:abstractNum>
  <w:abstractNum w:abstractNumId="164">
    <w:nsid w:val="5D5BABB3"/>
    <w:multiLevelType w:val="hybridMultilevel"/>
    <w:lvl w:ilvl="0">
      <w:lvlJc w:val="left"/>
      <w:lvlText w:val="(%1)"/>
      <w:numFmt w:val="lowerLetter"/>
      <w:start w:val="1"/>
    </w:lvl>
  </w:abstractNum>
  <w:abstractNum w:abstractNumId="165">
    <w:nsid w:val="51BF6B48"/>
    <w:multiLevelType w:val="hybridMultilevel"/>
    <w:lvl w:ilvl="0">
      <w:lvlJc w:val="left"/>
      <w:lvlText w:val="(%1)"/>
      <w:numFmt w:val="lowerLetter"/>
      <w:start w:val="4"/>
    </w:lvl>
  </w:abstractNum>
  <w:abstractNum w:abstractNumId="166">
    <w:nsid w:val="7E0F6384"/>
    <w:multiLevelType w:val="hybridMultilevel"/>
    <w:lvl w:ilvl="0">
      <w:lvlJc w:val="left"/>
      <w:lvlText w:val="(%1)"/>
      <w:numFmt w:val="lowerLetter"/>
      <w:start w:val="1"/>
    </w:lvl>
  </w:abstractNum>
  <w:abstractNum w:abstractNumId="167">
    <w:nsid w:val="2B4B8B53"/>
    <w:multiLevelType w:val="hybridMultilevel"/>
    <w:lvl w:ilvl="0">
      <w:lvlJc w:val="left"/>
      <w:lvlText w:val="(%1)"/>
      <w:numFmt w:val="lowerLetter"/>
      <w:start w:val="3"/>
    </w:lvl>
  </w:abstractNum>
  <w:abstractNum w:abstractNumId="168">
    <w:nsid w:val="72E3413A"/>
    <w:multiLevelType w:val="hybridMultilevel"/>
    <w:lvl w:ilvl="0">
      <w:lvlJc w:val="left"/>
      <w:lvlText w:val="%1."/>
      <w:numFmt w:val="decimal"/>
      <w:start w:val="3"/>
    </w:lvl>
  </w:abstractNum>
  <w:abstractNum w:abstractNumId="169">
    <w:nsid w:val="116AE494"/>
    <w:multiLevelType w:val="hybridMultilevel"/>
    <w:lvl w:ilvl="0">
      <w:lvlJc w:val="left"/>
      <w:lvlText w:val="1"/>
      <w:numFmt w:val="bullet"/>
      <w:start w:val="1"/>
    </w:lvl>
  </w:abstractNum>
  <w:abstractNum w:abstractNumId="170">
    <w:nsid w:val="3494B2FB"/>
    <w:multiLevelType w:val="hybridMultilevel"/>
    <w:lvl w:ilvl="0">
      <w:lvlJc w:val="left"/>
      <w:lvlText w:val="2"/>
      <w:numFmt w:val="bullet"/>
      <w:start w:val="1"/>
    </w:lvl>
  </w:abstractNum>
  <w:abstractNum w:abstractNumId="171">
    <w:nsid w:val="B13A31"/>
    <w:multiLevelType w:val="hybridMultilevel"/>
    <w:lvl w:ilvl="0">
      <w:lvlJc w:val="left"/>
      <w:lvlText w:val="3"/>
      <w:numFmt w:val="bullet"/>
      <w:start w:val="1"/>
    </w:lvl>
  </w:abstractNum>
  <w:abstractNum w:abstractNumId="172">
    <w:nsid w:val="64429599"/>
    <w:multiLevelType w:val="hybridMultilevel"/>
    <w:lvl w:ilvl="0">
      <w:lvlJc w:val="left"/>
      <w:lvlText w:val="4"/>
      <w:numFmt w:val="bullet"/>
      <w:start w:val="1"/>
    </w:lvl>
  </w:abstractNum>
  <w:abstractNum w:abstractNumId="173">
    <w:nsid w:val="631F1690"/>
    <w:multiLevelType w:val="hybridMultilevel"/>
    <w:lvl w:ilvl="0">
      <w:lvlJc w:val="left"/>
      <w:lvlText w:val="%1."/>
      <w:numFmt w:val="decimal"/>
      <w:start w:val="1"/>
    </w:lvl>
  </w:abstractNum>
  <w:abstractNum w:abstractNumId="174">
    <w:nsid w:val="25973E32"/>
    <w:multiLevelType w:val="hybridMultilevel"/>
    <w:lvl w:ilvl="0">
      <w:lvlJc w:val="left"/>
      <w:lvlText w:val="(%1)"/>
      <w:numFmt w:val="lowerLetter"/>
      <w:start w:val="2"/>
    </w:lvl>
  </w:abstractNum>
  <w:abstractNum w:abstractNumId="175">
    <w:nsid w:val="EAD6F57"/>
    <w:multiLevelType w:val="hybridMultilevel"/>
    <w:lvl w:ilvl="0">
      <w:lvlJc w:val="left"/>
      <w:lvlText w:val="%1."/>
      <w:numFmt w:val="decimal"/>
      <w:start w:val="2"/>
    </w:lvl>
  </w:abstractNum>
  <w:abstractNum w:abstractNumId="176">
    <w:nsid w:val="6EC9D844"/>
    <w:multiLevelType w:val="hybridMultilevel"/>
    <w:lvl w:ilvl="0">
      <w:lvlJc w:val="left"/>
      <w:lvlText w:val="%1."/>
      <w:numFmt w:val="decimal"/>
      <w:start w:val="1"/>
    </w:lvl>
  </w:abstractNum>
  <w:abstractNum w:abstractNumId="177">
    <w:nsid w:val="5C49EAEE"/>
    <w:multiLevelType w:val="hybridMultilevel"/>
    <w:lvl w:ilvl="0">
      <w:lvlJc w:val="left"/>
      <w:lvlText w:val="6"/>
      <w:numFmt w:val="bullet"/>
      <w:start w:val="1"/>
    </w:lvl>
  </w:abstractNum>
  <w:abstractNum w:abstractNumId="178">
    <w:nsid w:val="64AF49B"/>
    <w:multiLevelType w:val="hybridMultilevel"/>
    <w:lvl w:ilvl="0">
      <w:lvlJc w:val="left"/>
      <w:lvlText w:val="7"/>
      <w:numFmt w:val="bullet"/>
      <w:start w:val="1"/>
    </w:lvl>
  </w:abstractNum>
  <w:abstractNum w:abstractNumId="179">
    <w:nsid w:val="397C46BC"/>
    <w:multiLevelType w:val="hybridMultilevel"/>
    <w:lvl w:ilvl="0">
      <w:lvlJc w:val="left"/>
      <w:lvlText w:val="8"/>
      <w:numFmt w:val="bullet"/>
      <w:start w:val="1"/>
    </w:lvl>
  </w:abstractNum>
  <w:abstractNum w:abstractNumId="180">
    <w:nsid w:val="7E448DE9"/>
    <w:multiLevelType w:val="hybridMultilevel"/>
    <w:lvl w:ilvl="0">
      <w:lvlJc w:val="left"/>
      <w:lvlText w:val="%1."/>
      <w:numFmt w:val="decimal"/>
      <w:start w:val="5"/>
    </w:lvl>
  </w:abstractNum>
  <w:abstractNum w:abstractNumId="181">
    <w:nsid w:val="5A9CC3E5"/>
    <w:multiLevelType w:val="hybridMultilevel"/>
    <w:lvl w:ilvl="0">
      <w:lvlJc w:val="left"/>
      <w:lvlText w:val="%1."/>
      <w:numFmt w:val="decimal"/>
      <w:start w:val="1"/>
    </w:lvl>
  </w:abstractNum>
  <w:abstractNum w:abstractNumId="182">
    <w:nsid w:val="1AFE3625"/>
    <w:multiLevelType w:val="hybridMultilevel"/>
    <w:lvl w:ilvl="0">
      <w:lvlJc w:val="left"/>
      <w:lvlText w:val="%1."/>
      <w:numFmt w:val="decimal"/>
      <w:start w:val="3"/>
    </w:lvl>
    <w:lvl w:ilvl="1">
      <w:lvlJc w:val="left"/>
      <w:lvlText w:val="%2."/>
      <w:numFmt w:val="lowerLetter"/>
      <w:start w:val="1"/>
    </w:lvl>
  </w:abstractNum>
  <w:abstractNum w:abstractNumId="183">
    <w:nsid w:val="3CA88ECF"/>
    <w:multiLevelType w:val="hybridMultilevel"/>
    <w:lvl w:ilvl="0">
      <w:lvlJc w:val="left"/>
      <w:lvlText w:val="9"/>
      <w:numFmt w:val="bullet"/>
      <w:start w:val="1"/>
    </w:lvl>
  </w:abstractNum>
  <w:abstractNum w:abstractNumId="184">
    <w:nsid w:val="6EBE4208"/>
    <w:multiLevelType w:val="hybridMultilevel"/>
    <w:lvl w:ilvl="0">
      <w:lvlJc w:val="left"/>
      <w:lvlText w:val="%1."/>
      <w:numFmt w:val="decimal"/>
      <w:start w:val="5"/>
    </w:lvl>
  </w:abstractNum>
  <w:abstractNum w:abstractNumId="185">
    <w:nsid w:val="C058DF5"/>
    <w:multiLevelType w:val="hybridMultilevel"/>
    <w:lvl w:ilvl="0">
      <w:lvlJc w:val="left"/>
      <w:lvlText w:val="%1"/>
      <w:numFmt w:val="decimal"/>
      <w:start w:val="10"/>
    </w:lvl>
  </w:abstractNum>
  <w:abstractNum w:abstractNumId="186">
    <w:nsid w:val="CBE5BE9"/>
    <w:multiLevelType w:val="hybridMultilevel"/>
    <w:lvl w:ilvl="0">
      <w:lvlJc w:val="left"/>
      <w:lvlText w:val="%1."/>
      <w:numFmt w:val="decimal"/>
      <w:start w:val="1"/>
    </w:lvl>
  </w:abstractNum>
  <w:abstractNum w:abstractNumId="187">
    <w:nsid w:val="3102BBE2"/>
    <w:multiLevelType w:val="hybridMultilevel"/>
    <w:lvl w:ilvl="0">
      <w:lvlJc w:val="left"/>
      <w:lvlText w:val="%1."/>
      <w:numFmt w:val="decimal"/>
      <w:start w:val="7"/>
    </w:lvl>
  </w:abstractNum>
  <w:abstractNum w:abstractNumId="188">
    <w:nsid w:val="26A02C5E"/>
    <w:multiLevelType w:val="hybridMultilevel"/>
    <w:lvl w:ilvl="0">
      <w:lvlJc w:val="left"/>
      <w:lvlText w:val="(%1)"/>
      <w:numFmt w:val="lowerRoman"/>
      <w:start w:val="3"/>
    </w:lvl>
  </w:abstractNum>
  <w:abstractNum w:abstractNumId="189">
    <w:nsid w:val="541C8153"/>
    <w:multiLevelType w:val="hybridMultilevel"/>
    <w:lvl w:ilvl="0">
      <w:lvlJc w:val="left"/>
      <w:lvlText w:val="%1"/>
      <w:numFmt w:val="decimal"/>
      <w:start w:val="11"/>
    </w:lvl>
  </w:abstractNum>
  <w:abstractNum w:abstractNumId="190">
    <w:nsid w:val="67906F60"/>
    <w:multiLevelType w:val="hybridMultilevel"/>
    <w:lvl w:ilvl="0">
      <w:lvlJc w:val="left"/>
      <w:lvlText w:val="(%1)"/>
      <w:numFmt w:val="lowerRoman"/>
      <w:start w:val="6"/>
    </w:lvl>
    <w:lvl w:ilvl="1">
      <w:lvlJc w:val="left"/>
      <w:lvlText w:val="(%2)"/>
      <w:numFmt w:val="lowerRoman"/>
      <w:start w:val="8"/>
    </w:lvl>
  </w:abstractNum>
  <w:abstractNum w:abstractNumId="191">
    <w:nsid w:val="10DB9DAA"/>
    <w:multiLevelType w:val="hybridMultilevel"/>
    <w:lvl w:ilvl="0">
      <w:lvlJc w:val="left"/>
      <w:lvlText w:val="(%1)"/>
      <w:numFmt w:val="lowerRoman"/>
      <w:start w:val="9"/>
    </w:lvl>
  </w:abstractNum>
  <w:abstractNum w:abstractNumId="192">
    <w:nsid w:val="697D2D2"/>
    <w:multiLevelType w:val="hybridMultilevel"/>
    <w:lvl w:ilvl="0">
      <w:lvlJc w:val="left"/>
      <w:lvlText w:val="%1"/>
      <w:numFmt w:val="lowerRoman"/>
      <w:start w:val="1"/>
    </w:lvl>
    <w:lvl w:ilvl="1">
      <w:lvlJc w:val="left"/>
      <w:lvlText w:val="(%2)"/>
      <w:numFmt w:val="lowerRoman"/>
      <w:start w:val="13"/>
    </w:lvl>
  </w:abstractNum>
  <w:abstractNum w:abstractNumId="193">
    <w:nsid w:val="6D68AB2"/>
    <w:multiLevelType w:val="hybridMultilevel"/>
    <w:lvl w:ilvl="0">
      <w:lvlJc w:val="left"/>
      <w:lvlText w:val="(%1)"/>
      <w:numFmt w:val="lowerRoman"/>
      <w:start w:val="14"/>
    </w:lvl>
    <w:lvl w:ilvl="1">
      <w:lvlJc w:val="left"/>
      <w:lvlText w:val="%2"/>
      <w:numFmt w:val="lowerRoman"/>
      <w:start w:val="1"/>
    </w:lvl>
  </w:abstractNum>
  <w:abstractNum w:abstractNumId="194">
    <w:nsid w:val="3A966CD0"/>
    <w:multiLevelType w:val="hybridMultilevel"/>
    <w:lvl w:ilvl="0">
      <w:lvlJc w:val="left"/>
      <w:lvlText w:val="+"/>
      <w:numFmt w:val="bullet"/>
      <w:start w:val="1"/>
    </w:lvl>
  </w:abstractNum>
  <w:abstractNum w:abstractNumId="195">
    <w:nsid w:val="63F37E85"/>
    <w:multiLevelType w:val="hybridMultilevel"/>
    <w:lvl w:ilvl="0">
      <w:lvlJc w:val="left"/>
      <w:lvlText w:val="+"/>
      <w:numFmt w:val="bullet"/>
      <w:start w:val="1"/>
    </w:lvl>
  </w:abstractNum>
  <w:abstractNum w:abstractNumId="196">
    <w:nsid w:val="5895F5FA"/>
    <w:multiLevelType w:val="hybridMultilevel"/>
    <w:lvl w:ilvl="0">
      <w:lvlJc w:val="left"/>
      <w:lvlText w:val="%1"/>
      <w:numFmt w:val="upperLetter"/>
      <w:start w:val="1"/>
    </w:lvl>
    <w:lvl w:ilvl="1">
      <w:lvlJc w:val="left"/>
      <w:lvlText w:val="(%2)"/>
      <w:numFmt w:val="lowerRoman"/>
      <w:start w:val="16"/>
    </w:lvl>
  </w:abstractNum>
  <w:abstractNum w:abstractNumId="197">
    <w:nsid w:val="38A5D054"/>
    <w:multiLevelType w:val="hybridMultilevel"/>
    <w:lvl w:ilvl="0">
      <w:lvlJc w:val="left"/>
      <w:lvlText w:val="%1"/>
      <w:numFmt w:val="upperLetter"/>
      <w:start w:val="1"/>
    </w:lvl>
    <w:lvl w:ilvl="1">
      <w:lvlJc w:val="left"/>
      <w:lvlText w:val="(%2)"/>
      <w:numFmt w:val="lowerRoman"/>
      <w:start w:val="1"/>
    </w:lvl>
  </w:abstractNum>
  <w:abstractNum w:abstractNumId="198">
    <w:nsid w:val="F3F09D8"/>
    <w:multiLevelType w:val="hybridMultilevel"/>
    <w:lvl w:ilvl="0">
      <w:lvlJc w:val="left"/>
      <w:lvlText w:val="\endash "/>
      <w:numFmt w:val="bullet"/>
      <w:start w:val="1"/>
    </w:lvl>
  </w:abstractNum>
  <w:abstractNum w:abstractNumId="199">
    <w:nsid w:val="4B793735"/>
    <w:multiLevelType w:val="hybridMultilevel"/>
    <w:lvl w:ilvl="0">
      <w:lvlJc w:val="left"/>
      <w:lvlText w:val="%1"/>
      <w:numFmt w:val="decimal"/>
      <w:start w:val="12"/>
    </w:lvl>
  </w:abstractNum>
  <w:abstractNum w:abstractNumId="200">
    <w:nsid w:val="4A10B4E8"/>
    <w:multiLevelType w:val="hybridMultilevel"/>
    <w:lvl w:ilvl="0">
      <w:lvlJc w:val="left"/>
      <w:lvlText w:val="%1."/>
      <w:numFmt w:val="decimal"/>
      <w:start w:val="1"/>
    </w:lvl>
  </w:abstractNum>
  <w:abstractNum w:abstractNumId="201">
    <w:nsid w:val="43D3BCD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2026-10-27T16:04:27Z</dcterms:created>
  <dcterms:modified xsi:type="dcterms:W3CDTF">2026-10-27T16:04:27Z</dcterms:modified>
</cp:coreProperties>
</file>