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1404870.xml.htm"/>
      <w:bookmarkStart w:id="1" w:name="kswkform4_179140487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FREEMAN RUSSELL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PETRUS TRUST COMPANY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3000 TURTLE CREEK BOULEVARD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DALLAS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TX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75219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Cricut,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CRCT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10/06/2026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09"/>
        <w:gridCol w:w="459"/>
        <w:gridCol w:w="621"/>
        <w:gridCol w:w="1284"/>
        <w:gridCol w:w="1002"/>
        <w:gridCol w:w="98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88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28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8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28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8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1,158,446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98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See footnote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shares are held by the Russell W Freeman 2026 Grantor Retained Annuity Trust DTD 10/06/2026 for which the reporting person serves as trustee. Reflects a transfer on October 6, 2026, from the reporting person and from the Russell and Carolyn Freeman Living Trust dated October 5, 2018, for which the reporting person serves as co-trustee. Exempt from Section 16 of the Act pursuant to Rule 16a-13 promulgated under the Act.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Lauren Curtin, by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10/07/2026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199358" TargetMode="External"/><Relationship Id="rId5" Type="http://schemas.openxmlformats.org/officeDocument/2006/relationships/hyperlink" Target="http://www.sec.gov/cgi-bin/browse-edgar?action=getcompany&amp;CIK=0001828962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637</Words>
  <Characters>3434</Characters>
  <CharactersWithSpaces>4007</CharactersWithSpaces>
  <Paragraphs>92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