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751957.xml.htm"/>
      <w:bookmarkStart w:id="1" w:name="kswkform4_17847519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Zak Heidi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CRICUT,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10855 S RIVERFRONT PKWY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JORDAN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Cricut, Inc.</w:t>
              </w:r>
            </w:hyperlink>
            <w:r>
              <w:rPr/>
              <w:t xml:space="preserve"> [ </w:t>
            </w:r>
            <w:r>
              <w:rPr>
                <w:rFonts w:ascii="Times;serif" w:hAnsi="Times;serif"/>
                <w:color w:val="0000FF"/>
                <w:sz w:val="24"/>
                <w:shd w:fill="FFFFFF" w:val="clear"/>
              </w:rPr>
              <w:t>CRCT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2,072</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134,879</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reflects dividend equivalent restricted stock units that were granted in connection with a recurring semi-annual cash dividend of $.10 per share to holders of the issuer's stock, paid on July 21, 2026, to stockholders of record at the close of business on July 7, 2026. Holders of restricted stock units that were unvested on the record date were automatically credited with a dividend equivalent based on the value of the per share dividend pursuant to the terms of the issuer's equity incentive documents.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Curtin,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7046" TargetMode="External"/><Relationship Id="rId5" Type="http://schemas.openxmlformats.org/officeDocument/2006/relationships/hyperlink" Target="http://www.sec.gov/cgi-bin/browse-edgar?action=getcompany&amp;CIK=00018289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653</Words>
  <Characters>3501</Characters>
  <CharactersWithSpaces>4086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