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color w:val="auto"/>
        </w:rPr>
        <w:t>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9"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_________________________________</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 w:lineRule="exact"/>
        <w:rPr>
          <w:sz w:val="24"/>
          <w:szCs w:val="24"/>
          <w:color w:val="auto"/>
        </w:rPr>
      </w:pPr>
    </w:p>
    <w:p>
      <w:pPr>
        <w:ind w:left="4040"/>
        <w:spacing w:after="0"/>
        <w:rPr>
          <w:sz w:val="20"/>
          <w:szCs w:val="20"/>
          <w:color w:val="auto"/>
        </w:rPr>
      </w:pPr>
      <w:r>
        <w:rPr>
          <w:rFonts w:ascii="Arial" w:cs="Arial" w:eastAsia="Arial" w:hAnsi="Arial"/>
          <w:sz w:val="20"/>
          <w:szCs w:val="20"/>
          <w:b w:val="1"/>
          <w:bCs w:val="1"/>
          <w:color w:val="auto"/>
        </w:rPr>
        <w:t>Pursuant to Section 13 or 15(d) of</w:t>
      </w:r>
    </w:p>
    <w:p>
      <w:pPr>
        <w:spacing w:after="0" w:line="13"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The Securities Exchange Act of 1934</w:t>
      </w:r>
    </w:p>
    <w:p>
      <w:pPr>
        <w:jc w:val="center"/>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3, 2026</w:t>
      </w:r>
    </w:p>
    <w:p>
      <w:pPr>
        <w:ind w:left="4100"/>
        <w:spacing w:after="0"/>
        <w:rPr>
          <w:sz w:val="20"/>
          <w:szCs w:val="20"/>
          <w:color w:val="auto"/>
        </w:rPr>
      </w:pPr>
      <w:r>
        <w:rPr>
          <w:rFonts w:ascii="Arial" w:cs="Arial" w:eastAsia="Arial" w:hAnsi="Arial"/>
          <w:sz w:val="16"/>
          <w:szCs w:val="16"/>
          <w:color w:val="auto"/>
        </w:rPr>
        <w:t>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Cricut,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___________________________________</w:t>
      </w:r>
    </w:p>
    <w:p>
      <w:pPr>
        <w:sectPr>
          <w:pgSz w:w="11900" w:h="16838" w:orient="portrait"/>
          <w:cols w:equalWidth="0" w:num="1">
            <w:col w:w="11240"/>
          </w:cols>
          <w:pgMar w:left="320" w:top="1338" w:right="339" w:bottom="1440" w:gutter="0" w:footer="0" w:header="0"/>
        </w:sectPr>
      </w:pPr>
    </w:p>
    <w:p>
      <w:pPr>
        <w:spacing w:after="0" w:line="38"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jc w:val="center"/>
        <w:ind w:right="2220"/>
        <w:spacing w:after="0"/>
        <w:rPr>
          <w:sz w:val="20"/>
          <w:szCs w:val="20"/>
          <w:color w:val="auto"/>
        </w:rPr>
      </w:pPr>
      <w:r>
        <w:rPr>
          <w:rFonts w:ascii="Arial" w:cs="Arial" w:eastAsia="Arial" w:hAnsi="Arial"/>
          <w:sz w:val="17"/>
          <w:szCs w:val="17"/>
          <w:b w:val="1"/>
          <w:bCs w:val="1"/>
          <w:color w:val="auto"/>
        </w:rPr>
        <w:t>001-40257</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87-0282025</w:t>
      </w:r>
    </w:p>
    <w:p>
      <w:pPr>
        <w:spacing w:after="0" w:line="51" w:lineRule="exact"/>
        <w:rPr>
          <w:sz w:val="24"/>
          <w:szCs w:val="24"/>
          <w:color w:val="auto"/>
        </w:rPr>
      </w:pPr>
    </w:p>
    <w:p>
      <w:pPr>
        <w:sectPr>
          <w:pgSz w:w="11900" w:h="16838" w:orient="portrait"/>
          <w:cols w:equalWidth="0" w:num="3">
            <w:col w:w="4320" w:space="720"/>
            <w:col w:w="3080" w:space="720"/>
            <w:col w:w="2400"/>
          </w:cols>
          <w:pgMar w:left="320" w:top="1338"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3900" w:space="720"/>
            <w:col w:w="2560" w:space="720"/>
            <w:col w:w="3340"/>
          </w:cols>
          <w:pgMar w:left="320" w:top="1338" w:right="339" w:bottom="1440" w:gutter="0" w:footer="0" w:header="0"/>
          <w:type w:val="continuous"/>
        </w:sectPr>
      </w:pPr>
    </w:p>
    <w:p>
      <w:pPr>
        <w:ind w:left="1300"/>
        <w:spacing w:after="0" w:line="234" w:lineRule="auto"/>
        <w:rPr>
          <w:sz w:val="20"/>
          <w:szCs w:val="20"/>
          <w:color w:val="auto"/>
        </w:rPr>
      </w:pPr>
      <w:r>
        <w:rPr>
          <w:rFonts w:ascii="Arial" w:cs="Arial" w:eastAsia="Arial" w:hAnsi="Arial"/>
          <w:sz w:val="16"/>
          <w:szCs w:val="16"/>
          <w:color w:val="auto"/>
        </w:rPr>
        <w:t>organization)</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10855 South River Front Parkway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Jordan, Utah 84095</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(385) 351-0633</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2"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_____________________________________</w:t>
      </w:r>
    </w:p>
    <w:p>
      <w:pPr>
        <w:sectPr>
          <w:pgSz w:w="11900" w:h="16838" w:orient="portrait"/>
          <w:cols w:equalWidth="0" w:num="1">
            <w:col w:w="11240"/>
          </w:cols>
          <w:pgMar w:left="320" w:top="1338" w:right="339" w:bottom="1440" w:gutter="0" w:footer="0" w:header="0"/>
          <w:type w:val="continuous"/>
        </w:sectPr>
      </w:pPr>
    </w:p>
    <w:p>
      <w:pPr>
        <w:spacing w:after="0" w:line="92"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00" w:type="dxa"/>
            <w:vAlign w:val="bottom"/>
          </w:tcPr>
          <w:p>
            <w:pPr>
              <w:spacing w:after="0"/>
              <w:rPr>
                <w:sz w:val="18"/>
                <w:szCs w:val="18"/>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2"/>
        </w:trPr>
        <w:tc>
          <w:tcPr>
            <w:tcW w:w="3980" w:type="dxa"/>
            <w:vAlign w:val="bottom"/>
            <w:gridSpan w:val="2"/>
          </w:tcPr>
          <w:p>
            <w:pPr>
              <w:jc w:val="center"/>
              <w:ind w:right="80"/>
              <w:spacing w:after="0"/>
              <w:rPr>
                <w:sz w:val="20"/>
                <w:szCs w:val="20"/>
                <w:color w:val="auto"/>
              </w:rPr>
            </w:pPr>
            <w:r>
              <w:rPr>
                <w:rFonts w:ascii="Arial" w:cs="Arial" w:eastAsia="Arial" w:hAnsi="Arial"/>
                <w:sz w:val="16"/>
                <w:szCs w:val="16"/>
                <w:color w:val="auto"/>
              </w:rPr>
              <w:t>Class A Common Stock, par value $0.001 per share</w:t>
            </w: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CRCT</w:t>
            </w:r>
          </w:p>
        </w:tc>
        <w:tc>
          <w:tcPr>
            <w:tcW w:w="38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9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46"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3, 2026, Cricut Inc. (the “Company”) issued a press release and will hold a conference call announcing its financial results for its fourth quarter and full year ended December 31, 2025. A copy of the press release is furnished herewith as Exhibit 99.1 and incorporated herein by reference.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contained herein and in the accompanying exhibit are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regardless of any general incorporation language in such filing, unless expressly incorporated by specific reference in such filing.</w:t>
      </w:r>
    </w:p>
    <w:p>
      <w:pPr>
        <w:spacing w:after="0" w:line="1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announces material information to the public through filings with the Securities and Exchange Commission, or the SEC, the investor relations page on the Company’s website, press releases, public conference calls, webcasts, the Company’s news site at cricut.com/press and blog posts on the Company’s corporate website.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the Company encourages investors, the media and others to follow the channels listed above and to review the information disclosed through such channels.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updates to the list of disclosure channels through which the Company announces information will be posted on the investor relations page on the Company’s website.</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(d)</w:t>
        <w:tab/>
        <w:t>Exhibits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16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Description</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continue"/>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0000FF"/>
                <w:w w:val="99"/>
              </w:rPr>
              <w:t>Press Release issued by Cricut, Inc. dated March 3, 2026</w:t>
            </w:r>
          </w:p>
        </w:tc>
        <w:tc>
          <w:tcPr>
            <w:tcW w:w="0" w:type="dxa"/>
            <w:vAlign w:val="bottom"/>
          </w:tcPr>
          <w:p>
            <w:pPr>
              <w:spacing w:after="0"/>
              <w:rPr>
                <w:sz w:val="1"/>
                <w:szCs w:val="1"/>
                <w:color w:val="auto"/>
              </w:rPr>
            </w:pPr>
          </w:p>
        </w:tc>
      </w:tr>
      <w:tr>
        <w:trPr>
          <w:trHeight w:val="215"/>
        </w:trPr>
        <w:tc>
          <w:tcPr>
            <w:tcW w:w="1340" w:type="dxa"/>
            <w:vAlign w:val="bottom"/>
            <w:tcBorders>
              <w:top w:val="single" w:sz="8" w:color="auto"/>
              <w:bottom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4600" w:type="dxa"/>
            <w:vAlign w:val="bottom"/>
            <w:tcBorders>
              <w:bottom w:val="single" w:sz="8" w:color="0000FF"/>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820" w:hanging="1085"/>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within the Inline XBRL document)</w:t>
      </w:r>
    </w:p>
    <w:p>
      <w:pPr>
        <w:spacing w:after="0" w:line="103"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9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Cricut, Inc.</w:t>
            </w:r>
          </w:p>
        </w:tc>
      </w:tr>
      <w:tr>
        <w:trPr>
          <w:trHeight w:val="488"/>
        </w:trPr>
        <w:tc>
          <w:tcPr>
            <w:tcW w:w="7920" w:type="dxa"/>
            <w:vAlign w:val="bottom"/>
          </w:tcPr>
          <w:p>
            <w:pPr>
              <w:spacing w:after="0"/>
              <w:rPr>
                <w:sz w:val="20"/>
                <w:szCs w:val="20"/>
                <w:color w:val="auto"/>
              </w:rPr>
            </w:pPr>
            <w:r>
              <w:rPr>
                <w:rFonts w:ascii="Arial" w:cs="Arial" w:eastAsia="Arial" w:hAnsi="Arial"/>
                <w:sz w:val="18"/>
                <w:szCs w:val="18"/>
                <w:color w:val="auto"/>
              </w:rPr>
              <w:t>Date:  March 3, 2026</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Kimball Shill</w:t>
            </w:r>
          </w:p>
        </w:tc>
      </w:tr>
      <w:tr>
        <w:trPr>
          <w:trHeight w:val="218"/>
        </w:trPr>
        <w:tc>
          <w:tcPr>
            <w:tcW w:w="79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Kimball Shill</w:t>
            </w:r>
          </w:p>
        </w:tc>
      </w:tr>
      <w:tr>
        <w:trPr>
          <w:trHeight w:val="239"/>
        </w:trPr>
        <w:tc>
          <w:tcPr>
            <w:tcW w:w="79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Cricut, Inc. Reports Fourth Quarter and Full Year 2025 Financial Results</w:t>
      </w:r>
    </w:p>
    <w:p>
      <w:pPr>
        <w:spacing w:after="0" w:line="213" w:lineRule="exact"/>
        <w:rPr>
          <w:sz w:val="20"/>
          <w:szCs w:val="20"/>
          <w:color w:val="auto"/>
        </w:rPr>
      </w:pPr>
    </w:p>
    <w:p>
      <w:pPr>
        <w:jc w:val="center"/>
        <w:ind w:left="340" w:right="1460"/>
        <w:spacing w:after="0" w:line="427" w:lineRule="auto"/>
        <w:rPr>
          <w:sz w:val="20"/>
          <w:szCs w:val="20"/>
          <w:color w:val="auto"/>
        </w:rPr>
      </w:pPr>
      <w:r>
        <w:rPr>
          <w:rFonts w:ascii="Arial" w:cs="Arial" w:eastAsia="Arial" w:hAnsi="Arial"/>
          <w:sz w:val="20"/>
          <w:szCs w:val="20"/>
          <w:i w:val="1"/>
          <w:iCs w:val="1"/>
          <w:color w:val="auto"/>
        </w:rPr>
        <w:t xml:space="preserve">Delivered 9th consecutive year of profitability with net income of $76.7 million, or 10.8% margin Net Income increased </w:t>
      </w:r>
      <w:r>
        <w:rPr>
          <w:rFonts w:ascii="Arial" w:cs="Arial" w:eastAsia="Arial" w:hAnsi="Arial"/>
          <w:sz w:val="20"/>
          <w:szCs w:val="20"/>
          <w:color w:val="auto"/>
        </w:rPr>
        <w:t>22%,</w:t>
      </w:r>
      <w:r>
        <w:rPr>
          <w:rFonts w:ascii="Arial" w:cs="Arial" w:eastAsia="Arial" w:hAnsi="Arial"/>
          <w:sz w:val="20"/>
          <w:szCs w:val="20"/>
          <w:i w:val="1"/>
          <w:iCs w:val="1"/>
          <w:color w:val="auto"/>
        </w:rPr>
        <w:t xml:space="preserve"> or </w:t>
      </w:r>
      <w:r>
        <w:rPr>
          <w:rFonts w:ascii="Arial" w:cs="Arial" w:eastAsia="Arial" w:hAnsi="Arial"/>
          <w:sz w:val="20"/>
          <w:szCs w:val="20"/>
          <w:color w:val="auto"/>
        </w:rPr>
        <w:t>$13.9 million,</w:t>
      </w:r>
      <w:r>
        <w:rPr>
          <w:rFonts w:ascii="Arial" w:cs="Arial" w:eastAsia="Arial" w:hAnsi="Arial"/>
          <w:sz w:val="20"/>
          <w:szCs w:val="20"/>
          <w:i w:val="1"/>
          <w:iCs w:val="1"/>
          <w:color w:val="auto"/>
        </w:rPr>
        <w:t xml:space="preserve"> compared to 2024 Generated $200 million in Cash from Operations in 2025 Paid subscribers increased over 4% to just over 3.09 million,compared to 2024 2025 revenue of $708.8 million, a less than 1% decline compared to 2024</w:t>
      </w:r>
    </w:p>
    <w:p>
      <w:pPr>
        <w:spacing w:after="0" w:line="31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SOUTH JORDAN, Utah, March 3, 2026 (GLOBE NEWSWIRE) -- Cricut, Inc. (“Cricut”) (NASDAQ: CRCT), the creative technology company that has brought a connected platform for making to millions of users worldwide, today announced financial results for its fourth quarter and full year ended December 31, 2025.</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"While we are pleased with increased profitability with net income up 22%, the over 4% increase in paid subscribers, and positive machine-sell out units in both North America and International, we are disappointed in the lack of total company sales growth for both Q4 and 2025. We are working with urgency and focus to drive a mass market experience, accelerating our development cycles, and competing better. We have a strong conviction in our category and the overall market potential," Cricut's Chief Executive Officer, Ashish Arora, said. “We have delivered on our commitment to fundamentally simplify our user experience with our new project guided flows, which are in the process of being rolled out to our entire user base. While it is still early, we are pleased with initial results. Thus far in 2026, we have already launched two next-generation cutting machines, new heat presses, a new Direct To Film (or DTF) service, and I am excited about our future roadmap."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Financial Results</w:t>
      </w:r>
    </w:p>
    <w:p>
      <w:pPr>
        <w:spacing w:after="0" w:line="16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Revenue decreased 3% to $203.6 million, compared to $209.3 million in Q4 2024.</w:t>
      </w:r>
    </w:p>
    <w:p>
      <w:pPr>
        <w:spacing w:after="0" w:line="175"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Platform revenue increased 6% to $83.9 million, compared to $79.4 million in Q4 2024.</w:t>
      </w:r>
    </w:p>
    <w:p>
      <w:pPr>
        <w:spacing w:after="0" w:line="175"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Products revenue decreased 8% to $119.7 million, compared to $129.9 million in Q4 2024.</w:t>
      </w:r>
    </w:p>
    <w:p>
      <w:pPr>
        <w:spacing w:after="0" w:line="161"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Gross margin was 47.4%, up from 44.9% in Q4 2024.</w:t>
      </w:r>
    </w:p>
    <w:p>
      <w:pPr>
        <w:spacing w:after="0" w:line="175"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was $13.9 million, or 6.8% of revenue, compared to $13.9 million, or 6.6% of revenue, in Q4 2024.</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Net income was $7.8 million or 3.8% of revenue, compared to $11.9 million, or 5.7% of revenue, in Q4 2024.</w:t>
      </w:r>
    </w:p>
    <w:p>
      <w:pPr>
        <w:spacing w:after="0" w:line="175"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Diluted earnings per share was $0.04, compared to $0.06 in Q4 2024.</w:t>
      </w:r>
    </w:p>
    <w:p>
      <w:pPr>
        <w:spacing w:after="0" w:line="175"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International revenue increased by 9% over Q4 2024 and was 28% of revenue, up from 25% of revenue in Q4 2024.</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Financial Results</w:t>
      </w:r>
    </w:p>
    <w:p>
      <w:pPr>
        <w:spacing w:after="0" w:line="17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decreased less than 1% to $708.8 million, compared to $712.5 million in FY 2024.</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Platform revenue increased 5% to $327.4 million, up from $313.0 million in FY 2024.</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Products revenue decreased 5% to $381.4 million, compared to $399.6 million in FY 2024.</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margin was 55.1%, up from 49.5% in FY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773" w:right="339" w:bottom="1440" w:gutter="0" w:footer="0" w:header="0"/>
        </w:sectPr>
      </w:pPr>
    </w:p>
    <w:bookmarkStart w:id="3" w:name="page4"/>
    <w:bookmarkEnd w:id="3"/>
    <w:p>
      <w:pPr>
        <w:ind w:left="660" w:hanging="328"/>
        <w:spacing w:after="0" w:line="28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Operating income was $96.0 million, up 26% year over year or 13.5% of revenue, up from $76.1 million, or 10.7% of revenue, in FY 2024.</w:t>
      </w:r>
    </w:p>
    <w:p>
      <w:pPr>
        <w:spacing w:after="0" w:line="8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income was $76.7 million, or 10.8% of revenue, up from $62.8 million, or 8.8% of revenue in FY 2024.</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Diluted earnings per share was $0.35, up from $0.29 in FY 2024.</w:t>
      </w:r>
    </w:p>
    <w:p>
      <w:pPr>
        <w:spacing w:after="0" w:line="161"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International revenue increased 8% to $169.7 million, or 24% of revenue, compared to $157.5 million or 22% of revenue in FY 2024.</w:t>
      </w:r>
    </w:p>
    <w:p>
      <w:pPr>
        <w:spacing w:after="0" w:line="99"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Generated $200.2 million in cash from operations.</w:t>
      </w:r>
    </w:p>
    <w:p>
      <w:pPr>
        <w:spacing w:after="0" w:line="200" w:lineRule="exact"/>
        <w:rPr>
          <w:sz w:val="20"/>
          <w:szCs w:val="20"/>
          <w:color w:val="auto"/>
        </w:rPr>
      </w:pP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continue to generate healthy cash flow on an annual basis, which funds inventory needs and investments for long-term growth. In 2025, we generated $200 million in cash from operations. We ended 2025 with cash and cash equivalents of approximately $276 million and remain debt free," said Kimball Shill, Chief Financial Officer. "We expect to be profitable each quarter and generate positive cash flow from operations during 2026, even while we continue to fund investments to drive future growth. We also expect to continue to be active with our authorized $50 million stock repurchase program, which has $41.3 million remaining."</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Business Highlights</w:t>
      </w:r>
    </w:p>
    <w:p>
      <w:pPr>
        <w:spacing w:after="0" w:line="17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Paid Subscribers grew over 4% to just over 3.09 million versus 2024.</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Platform ARPU grew to $55.77, up 5% versus 2024.</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Ended 2025 with just under 5.9 million Active Users, about flat year over year.</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Ended 2025 with just under 3.7 million 90-Day Engaged Users, down 3% versus 2024.</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Machine sell-out units were positive in both North America and International.</w:t>
      </w:r>
    </w:p>
    <w:p>
      <w:pPr>
        <w:spacing w:after="0" w:line="175"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Significant improvements in our software platform that includes compelling AI offerings and easy-to-use project guided flows.</w:t>
      </w:r>
    </w:p>
    <w:p>
      <w:pPr>
        <w:spacing w:after="0" w:line="11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Meaningful improvement in our Net Promoter Score (NPS).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2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Key Performance Metrics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addition to the measures presented in our consolidated financial statements, we use the following key business metrics to help us evaluate our business, identify trends affecting our business, formulate business plans and make strategic decisions.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262" w:lineRule="exact"/>
        <w:rPr>
          <w:sz w:val="20"/>
          <w:szCs w:val="20"/>
          <w:color w:val="auto"/>
        </w:rPr>
      </w:pPr>
    </w:p>
    <w:tbl>
      <w:tblPr>
        <w:tblLayout w:type="fixed"/>
        <w:tblInd w:w="158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32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Pr>
          <w:p>
            <w:pPr>
              <w:spacing w:after="0"/>
              <w:rPr>
                <w:sz w:val="19"/>
                <w:szCs w:val="19"/>
                <w:color w:val="auto"/>
              </w:rPr>
            </w:pPr>
          </w:p>
        </w:tc>
      </w:tr>
      <w:tr>
        <w:trPr>
          <w:trHeight w:val="257"/>
        </w:trPr>
        <w:tc>
          <w:tcPr>
            <w:tcW w:w="6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22"/>
                <w:szCs w:val="22"/>
                <w:color w:val="auto"/>
              </w:rPr>
            </w:pPr>
          </w:p>
        </w:tc>
      </w:tr>
      <w:tr>
        <w:trPr>
          <w:trHeight w:val="21"/>
        </w:trPr>
        <w:tc>
          <w:tcPr>
            <w:tcW w:w="536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Active Users (in thousands)</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9"/>
              </w:rPr>
              <w:t>5,871</w:t>
            </w:r>
          </w:p>
        </w:tc>
        <w:tc>
          <w:tcPr>
            <w:tcW w:w="1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9"/>
              </w:rPr>
              <w:t>5,892</w:t>
            </w:r>
          </w:p>
        </w:tc>
      </w:tr>
      <w:tr>
        <w:trPr>
          <w:trHeight w:val="227"/>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90-Day Engaged Users (in thousands)</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3,695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3,812</w:t>
            </w:r>
          </w:p>
        </w:tc>
      </w:tr>
      <w:tr>
        <w:trPr>
          <w:trHeight w:val="29"/>
        </w:trPr>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8"/>
        </w:trPr>
        <w:tc>
          <w:tcPr>
            <w:tcW w:w="62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Paid Subscribers (in thousands)</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3,091</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2,959</w:t>
            </w:r>
          </w:p>
        </w:tc>
      </w:tr>
      <w:tr>
        <w:trPr>
          <w:trHeight w:val="29"/>
        </w:trPr>
        <w:tc>
          <w:tcPr>
            <w:tcW w:w="53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r>
    </w:tbl>
    <w:p>
      <w:pPr>
        <w:spacing w:after="0" w:line="377" w:lineRule="exact"/>
        <w:rPr>
          <w:sz w:val="20"/>
          <w:szCs w:val="20"/>
          <w:color w:val="auto"/>
        </w:rPr>
      </w:pPr>
    </w:p>
    <w:p>
      <w:pPr>
        <w:jc w:val="center"/>
        <w:ind w:left="4960"/>
        <w:spacing w:after="0"/>
        <w:rPr>
          <w:sz w:val="20"/>
          <w:szCs w:val="20"/>
          <w:color w:val="auto"/>
        </w:rPr>
      </w:pPr>
      <w:r>
        <w:rPr>
          <w:rFonts w:ascii="Arial" w:cs="Arial" w:eastAsia="Arial" w:hAnsi="Arial"/>
          <w:sz w:val="16"/>
          <w:szCs w:val="16"/>
          <w:b w:val="1"/>
          <w:bCs w:val="1"/>
          <w:color w:val="auto"/>
        </w:rPr>
        <w:t>Twelve Months Ended December</w:t>
      </w:r>
    </w:p>
    <w:p>
      <w:pPr>
        <w:spacing w:after="0" w:line="35" w:lineRule="exact"/>
        <w:rPr>
          <w:sz w:val="20"/>
          <w:szCs w:val="20"/>
          <w:color w:val="auto"/>
        </w:rPr>
      </w:pPr>
    </w:p>
    <w:p>
      <w:pPr>
        <w:jc w:val="center"/>
        <w:ind w:left="4960"/>
        <w:spacing w:after="0"/>
        <w:rPr>
          <w:sz w:val="20"/>
          <w:szCs w:val="20"/>
          <w:color w:val="auto"/>
        </w:rPr>
      </w:pPr>
      <w:r>
        <w:rPr>
          <w:rFonts w:ascii="Arial" w:cs="Arial" w:eastAsia="Arial" w:hAnsi="Arial"/>
          <w:sz w:val="16"/>
          <w:szCs w:val="16"/>
          <w:b w:val="1"/>
          <w:bCs w:val="1"/>
          <w:color w:val="auto"/>
        </w:rPr>
        <w:t>31,</w:t>
      </w:r>
    </w:p>
    <w:p>
      <w:pPr>
        <w:spacing w:after="0" w:line="57" w:lineRule="exact"/>
        <w:rPr>
          <w:sz w:val="20"/>
          <w:szCs w:val="20"/>
          <w:color w:val="auto"/>
        </w:rPr>
      </w:pPr>
    </w:p>
    <w:tbl>
      <w:tblPr>
        <w:tblLayout w:type="fixed"/>
        <w:tblInd w:w="178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1"/>
        </w:trPr>
        <w:tc>
          <w:tcPr>
            <w:tcW w:w="496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Platform ARPU</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94"/>
              </w:rPr>
              <w:t>55.77</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53.12</w:t>
            </w:r>
          </w:p>
        </w:tc>
      </w:tr>
      <w:tr>
        <w:trPr>
          <w:trHeight w:val="29"/>
        </w:trPr>
        <w:tc>
          <w:tcPr>
            <w:tcW w:w="49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Active Users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define Active Users as registered users of at least one registered connected machine who have utilized their connected machine to create a project in the last 365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Active Users and the prior owner is removed from the total Active Users if the prior owner does not own any other registered connected machines. Active Users is a key indicator of the health of our business, because changes in the number of Active Users excludes non-users to better represent opportunities for us to drive additional platform and accessories and materials revenue.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90-Day Engaged Users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define 90-Day Engaged Users as registered users of at least one registered connected machine who have utilized their connected machine to create a project in the last 90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90-Day Engaged Users and the prior owner is removed from the total 90-Day Engaged Users if the prior owner does not own any other registered connected machines. 90-Day Engaged Users excludes non-users to better represent opportunities for us to drive additional platform and accessories and materials revenue.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Paid Subscribers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define Paid Subscribers as the number of users with a subscription to Cricut Access or Cricut Access Premium, excluding cancelled, unpaid, paused, or free trial subscriptions, as of the end of a period. Paid Subscribers is a key metric to track growth in our Platform revenue and potential leverage in our gross margin.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Platform ARPU</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define Platform ARPU as Platform revenue in a 12-month period divided by Active Users. Platform ARPU allows us to forecast Platform revenue over time and is an indicator of our ability to expand with users and of user engagement with our subscription offerings.</w:t>
      </w:r>
    </w:p>
    <w:p>
      <w:pPr>
        <w:sectPr>
          <w:pgSz w:w="11900" w:h="16838" w:orient="portrait"/>
          <w:cols w:equalWidth="0" w:num="1">
            <w:col w:w="11240"/>
          </w:cols>
          <w:pgMar w:left="320" w:top="926" w:right="3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2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Webcast and Conference Call Information</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Cricut management will host a conference call and webcast to discuss the results today, Tuesday, March 3, 2026 at 3:00 p.m. Mountain Time (5:00 p.m. Eastern Time). Information about Cricut’s financial results, including a link to the live and archived webcast of the conference call, will be made available on Cricut’s investor relations website at https://investor.cricut.com/.</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The live call may also be accessed via telephone. Please pre-register using this link: https://register-conf.media-server.com/register/BI1734e6c3b443441c87945b8ca1a286fd. After registering, a confirmation will be sent via email and will include dial-in details and a unique PIN code for entry to the call. To avoid long wait times, we suggest registering at minimum 15 minutes before the start of the call to receive your unique PIN code.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About Cricut, Inc.</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Cricut, Inc. is a creative platform company that makes it easy for users to create meaningful personal items. Cricut hardware and software work together as a connected platform for consumers to make beautiful, high-quality projects quickly and easily. These industry-leading products include a flagship line of smart cutting machines — the Cricut Maker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family, the Cricut Explore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family, and the Cricut Joy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family — accompanied by other unique tools like Cricut EasyPress</w:t>
      </w:r>
      <w:r>
        <w:rPr>
          <w:rFonts w:ascii="Arial" w:cs="Arial" w:eastAsia="Arial" w:hAnsi="Arial"/>
          <w:sz w:val="25"/>
          <w:szCs w:val="25"/>
          <w:color w:val="auto"/>
          <w:vertAlign w:val="superscript"/>
        </w:rPr>
        <w:t>®</w:t>
      </w:r>
      <w:r>
        <w:rPr>
          <w:rFonts w:ascii="Arial" w:cs="Arial" w:eastAsia="Arial" w:hAnsi="Arial"/>
          <w:sz w:val="20"/>
          <w:szCs w:val="20"/>
          <w:color w:val="auto"/>
        </w:rPr>
        <w:t>, the Infusible Ink</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and a diverse collection of materials. In addition to providing tools and materials, Cricut fosters a thriving community of millions of dedicated users worldwide.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Cricut has used, and intends to continue using, its investor relations website and the Cricut News Blog (https://cricut.com/blog/news/) to disclose material non-public information and to comply with its disclosure obligations under Regulation FD. Accordingly, you should monitor our investor relations website and the Cricut News Blog in addition to following our press releases, SEC filings and public conference calls and webcasts.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Avani Patel</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pr@cricut.com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Jim Suva</w:t>
      </w:r>
    </w:p>
    <w:p>
      <w:pPr>
        <w:spacing w:after="0"/>
        <w:rPr>
          <w:sz w:val="20"/>
          <w:szCs w:val="20"/>
          <w:color w:val="auto"/>
        </w:rPr>
      </w:pPr>
      <w:r>
        <w:rPr>
          <w:rFonts w:ascii="Arial" w:cs="Arial" w:eastAsia="Arial" w:hAnsi="Arial"/>
          <w:sz w:val="20"/>
          <w:szCs w:val="20"/>
          <w:color w:val="auto"/>
        </w:rPr>
        <w:t>investors@cricut.com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202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269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Source: Cricut, Inc.</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(the “Act”), and Section 21E of the Securities Exchange Act of 1934, as amended (the “Exchange Act”). These statements include, but are not limited to, quotations from management, business outlook, strategies, capital allocation plans, market size and growth opportunities. Forward-looking statements generally can be identified by the fact that they do not relate strictly to historical or current facts and by the use of forward-looking words such as “anticipates,” “believes,” “targets,” “potential,” “estimates,” “expects,” “intends,” “plans,” “projects,” “may,” “will” or similar terminology. In particular, statements, express or implied, concerning future actions, conditions or events, future results of operations or the ability to generate revenues, income or cash flow are forward-looking statements. These statements are based on and reflect our current expectations, estimates, assumptions and/ or projections and our perception of historical trends and current conditions, as well as other factors that we believe are appropriate and reasonable under the circumstances. Forward-looking statements are neither predictions nor guarantees of future events, circumstances or performance and are inherently subject to known and unknown risks, uncertainties and assumptions, many of which are beyond our control, that could cause our actual results to differ materially from those indicated by those statements. There can be no assurance that our expectations, estimates, assumptions and/or projections will prove to be correct or that any of our expectations, estimates or projections, including with respect to the future earnings and performance of Cricut, Inc., will be achieved. The forward-looking statements included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28" w:right="3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20"/>
          <w:szCs w:val="20"/>
          <w:color w:val="auto"/>
        </w:rPr>
        <w:t>this press release are only made as of the date indicated on the relevant materials and are based on our estimates and opinions at the time the statements are made. We disclaim any obligation to publicly update any forward-looking statement to reflect subsequent events or circumstances or changes in opinion, except as required by law.</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Numerous factors could cause our actual results and events to differ materially from those expressed or implied by forward-looking statements including, but not limited to, risks and uncertainties associated with: our ability to attract and engage with our users; competitive risks; supply chain, manufacturing, distribution and fulfillment risks; international risks, including regulation, trade wars, heightened, scheduled, or threatened tariffs or retaliatory trade measures that have materially increased our costs and the potential for further trade barriers or disruptions; sales and marketing risks, including our dependence on sales to brick-and-mortar and online retail partners and our need to continue to grow online sales; risks relating to the complexity of our business, which includes connected machines, custom tools, hundreds of materials, design apps, e-commerce software, subscriptions, content, international production, direct sales and retail distribution; risks related to product quality, safety and warranty claims and returns; risks related to the fluctuation of our quarterly results of operations and other operating metrics; risks related to intellectual property, cybersecurity and potential data breaches; risks related to our dependence on our Chief Executive Officer; risks related to our status as a “controlled company”; and the impact of economic and geopolitical events, natural disasters and actual or threatened public health emergencies, current recessionary pressures and any resulting economic slowdown from any of these events, or other resulting interruption to our operations. These risks and uncertainties are described in greater detail, or are incorporated by reference, under the heading “Risk Factors” in the most recent form 10-K or 10-Q that we have filed with the Securities and Exchange Commission (“SEC”).</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addition, certain risks and uncertainties not presently known to us or that we currently believe to be immaterial could affect the accuracy of any such forward-looking statements. All forward-looking statements should be evaluated with the understanding of their inherent uncertainty. The forward-looking statements included in these materials are only made as of the date indicated on the relevant materials and we disclaim any obligation to publicly update any forward-looking statement to reflect subsequent events or circumstances, except as required by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2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Cricut,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 and Comprehensive Income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share and per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9"/>
                <w:szCs w:val="19"/>
                <w:color w:val="auto"/>
              </w:rPr>
            </w:pPr>
          </w:p>
        </w:tc>
        <w:tc>
          <w:tcPr>
            <w:tcW w:w="30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60" w:type="dxa"/>
            <w:vAlign w:val="bottom"/>
          </w:tcPr>
          <w:p>
            <w:pPr>
              <w:ind w:left="520"/>
              <w:spacing w:after="0"/>
              <w:rPr>
                <w:sz w:val="20"/>
                <w:szCs w:val="20"/>
                <w:color w:val="auto"/>
              </w:rPr>
            </w:pPr>
            <w:r>
              <w:rPr>
                <w:rFonts w:ascii="Arial" w:cs="Arial" w:eastAsia="Arial" w:hAnsi="Arial"/>
                <w:sz w:val="18"/>
                <w:szCs w:val="18"/>
                <w:color w:val="auto"/>
              </w:rPr>
              <w:t>Platform</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83,933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79,367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327,399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312,976</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Products</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129,942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381,381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399,562</w:t>
            </w:r>
          </w:p>
        </w:tc>
        <w:tc>
          <w:tcPr>
            <w:tcW w:w="0" w:type="dxa"/>
            <w:vAlign w:val="bottom"/>
          </w:tcPr>
          <w:p>
            <w:pPr>
              <w:spacing w:after="0"/>
              <w:rPr>
                <w:sz w:val="1"/>
                <w:szCs w:val="1"/>
                <w:color w:val="auto"/>
              </w:rPr>
            </w:pPr>
          </w:p>
        </w:tc>
      </w:tr>
      <w:tr>
        <w:trPr>
          <w:trHeight w:val="241"/>
        </w:trPr>
        <w:tc>
          <w:tcPr>
            <w:tcW w:w="4460" w:type="dxa"/>
            <w:vAlign w:val="bottom"/>
          </w:tcPr>
          <w:p>
            <w:pPr>
              <w:ind w:left="10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203,597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209,309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708,780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712,538</w:t>
            </w:r>
          </w:p>
        </w:tc>
        <w:tc>
          <w:tcPr>
            <w:tcW w:w="0" w:type="dxa"/>
            <w:vAlign w:val="bottom"/>
          </w:tcPr>
          <w:p>
            <w:pPr>
              <w:spacing w:after="0"/>
              <w:rPr>
                <w:sz w:val="1"/>
                <w:szCs w:val="1"/>
                <w:color w:val="auto"/>
              </w:rPr>
            </w:pPr>
          </w:p>
        </w:tc>
      </w:tr>
      <w:tr>
        <w:trPr>
          <w:trHeight w:val="36"/>
        </w:trPr>
        <w:tc>
          <w:tcPr>
            <w:tcW w:w="44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60" w:type="dxa"/>
            <w:vAlign w:val="bottom"/>
          </w:tcPr>
          <w:p>
            <w:pPr>
              <w:ind w:left="520"/>
              <w:spacing w:after="0"/>
              <w:rPr>
                <w:sz w:val="20"/>
                <w:szCs w:val="20"/>
                <w:color w:val="auto"/>
              </w:rPr>
            </w:pPr>
            <w:r>
              <w:rPr>
                <w:rFonts w:ascii="Arial" w:cs="Arial" w:eastAsia="Arial" w:hAnsi="Arial"/>
                <w:sz w:val="18"/>
                <w:szCs w:val="18"/>
                <w:color w:val="auto"/>
              </w:rPr>
              <w:t>Platform</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37,288</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Products</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105,677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282,359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322,462</w:t>
            </w:r>
          </w:p>
        </w:tc>
        <w:tc>
          <w:tcPr>
            <w:tcW w:w="0" w:type="dxa"/>
            <w:vAlign w:val="bottom"/>
          </w:tcPr>
          <w:p>
            <w:pPr>
              <w:spacing w:after="0"/>
              <w:rPr>
                <w:sz w:val="1"/>
                <w:szCs w:val="1"/>
                <w:color w:val="auto"/>
              </w:rPr>
            </w:pPr>
          </w:p>
        </w:tc>
      </w:tr>
      <w:tr>
        <w:trPr>
          <w:trHeight w:val="241"/>
        </w:trPr>
        <w:tc>
          <w:tcPr>
            <w:tcW w:w="4460" w:type="dxa"/>
            <w:vAlign w:val="bottom"/>
          </w:tcPr>
          <w:p>
            <w:pPr>
              <w:ind w:left="10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107,149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115,318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318,349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359,750</w:t>
            </w:r>
          </w:p>
        </w:tc>
        <w:tc>
          <w:tcPr>
            <w:tcW w:w="0" w:type="dxa"/>
            <w:vAlign w:val="bottom"/>
          </w:tcPr>
          <w:p>
            <w:pPr>
              <w:spacing w:after="0"/>
              <w:rPr>
                <w:sz w:val="1"/>
                <w:szCs w:val="1"/>
                <w:color w:val="auto"/>
              </w:rPr>
            </w:pPr>
          </w:p>
        </w:tc>
      </w:tr>
      <w:tr>
        <w:trPr>
          <w:trHeight w:val="36"/>
        </w:trPr>
        <w:tc>
          <w:tcPr>
            <w:tcW w:w="44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390,431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352,788</w:t>
            </w:r>
          </w:p>
        </w:tc>
        <w:tc>
          <w:tcPr>
            <w:tcW w:w="0" w:type="dxa"/>
            <w:vAlign w:val="bottom"/>
          </w:tcPr>
          <w:p>
            <w:pPr>
              <w:spacing w:after="0"/>
              <w:rPr>
                <w:sz w:val="1"/>
                <w:szCs w:val="1"/>
                <w:color w:val="auto"/>
              </w:rPr>
            </w:pP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60,399</w:t>
            </w:r>
          </w:p>
        </w:tc>
        <w:tc>
          <w:tcPr>
            <w:tcW w:w="0" w:type="dxa"/>
            <w:vAlign w:val="bottom"/>
          </w:tcPr>
          <w:p>
            <w:pPr>
              <w:spacing w:after="0"/>
              <w:rPr>
                <w:sz w:val="1"/>
                <w:szCs w:val="1"/>
                <w:color w:val="auto"/>
              </w:rPr>
            </w:pPr>
          </w:p>
        </w:tc>
      </w:tr>
      <w:tr>
        <w:trPr>
          <w:trHeight w:val="247"/>
        </w:trPr>
        <w:tc>
          <w:tcPr>
            <w:tcW w:w="4460" w:type="dxa"/>
            <w:vAlign w:val="bottom"/>
          </w:tcPr>
          <w:p>
            <w:pPr>
              <w:ind w:left="5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159,412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143,294</w:t>
            </w: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72,985</w:t>
            </w:r>
          </w:p>
        </w:tc>
        <w:tc>
          <w:tcPr>
            <w:tcW w:w="0" w:type="dxa"/>
            <w:vAlign w:val="bottom"/>
          </w:tcPr>
          <w:p>
            <w:pPr>
              <w:spacing w:after="0"/>
              <w:rPr>
                <w:sz w:val="1"/>
                <w:szCs w:val="1"/>
                <w:color w:val="auto"/>
              </w:rPr>
            </w:pPr>
          </w:p>
        </w:tc>
      </w:tr>
      <w:tr>
        <w:trPr>
          <w:trHeight w:val="241"/>
        </w:trPr>
        <w:tc>
          <w:tcPr>
            <w:tcW w:w="4460" w:type="dxa"/>
            <w:vAlign w:val="bottom"/>
          </w:tcPr>
          <w:p>
            <w:pPr>
              <w:ind w:left="10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82,512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80,114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294,398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276,678</w:t>
            </w:r>
          </w:p>
        </w:tc>
        <w:tc>
          <w:tcPr>
            <w:tcW w:w="0" w:type="dxa"/>
            <w:vAlign w:val="bottom"/>
          </w:tcPr>
          <w:p>
            <w:pPr>
              <w:spacing w:after="0"/>
              <w:rPr>
                <w:sz w:val="1"/>
                <w:szCs w:val="1"/>
                <w:color w:val="auto"/>
              </w:rPr>
            </w:pPr>
          </w:p>
        </w:tc>
      </w:tr>
      <w:tr>
        <w:trPr>
          <w:trHeight w:val="37"/>
        </w:trPr>
        <w:tc>
          <w:tcPr>
            <w:tcW w:w="44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76,110</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47"/>
        </w:trPr>
        <w:tc>
          <w:tcPr>
            <w:tcW w:w="4460" w:type="dxa"/>
            <w:vAlign w:val="bottom"/>
          </w:tcPr>
          <w:p>
            <w:pPr>
              <w:ind w:left="5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0"/>
        </w:trPr>
        <w:tc>
          <w:tcPr>
            <w:tcW w:w="44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36"/>
        </w:trPr>
        <w:tc>
          <w:tcPr>
            <w:tcW w:w="44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107,893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88,877</w:t>
            </w:r>
          </w:p>
        </w:tc>
        <w:tc>
          <w:tcPr>
            <w:tcW w:w="0" w:type="dxa"/>
            <w:vAlign w:val="bottom"/>
          </w:tcPr>
          <w:p>
            <w:pPr>
              <w:spacing w:after="0"/>
              <w:rPr>
                <w:sz w:val="1"/>
                <w:szCs w:val="1"/>
                <w:color w:val="auto"/>
              </w:rPr>
            </w:pP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26,047</w:t>
            </w:r>
          </w:p>
        </w:tc>
        <w:tc>
          <w:tcPr>
            <w:tcW w:w="0" w:type="dxa"/>
            <w:vAlign w:val="bottom"/>
          </w:tcPr>
          <w:p>
            <w:pPr>
              <w:spacing w:after="0"/>
              <w:rPr>
                <w:sz w:val="1"/>
                <w:szCs w:val="1"/>
                <w:color w:val="auto"/>
              </w:rPr>
            </w:pPr>
          </w:p>
        </w:tc>
      </w:tr>
      <w:tr>
        <w:trPr>
          <w:trHeight w:val="36"/>
        </w:trPr>
        <w:tc>
          <w:tcPr>
            <w:tcW w:w="44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net unrealized gains (losses) 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marketable securities,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4"/>
        </w:trPr>
        <w:tc>
          <w:tcPr>
            <w:tcW w:w="4460" w:type="dxa"/>
            <w:vAlign w:val="bottom"/>
          </w:tcPr>
          <w:p>
            <w:pPr>
              <w:ind w:left="520"/>
              <w:spacing w:after="0"/>
              <w:rPr>
                <w:sz w:val="20"/>
                <w:szCs w:val="20"/>
                <w:color w:val="auto"/>
              </w:rPr>
            </w:pPr>
            <w:r>
              <w:rPr>
                <w:rFonts w:ascii="Arial" w:cs="Arial" w:eastAsia="Arial" w:hAnsi="Arial"/>
                <w:sz w:val="18"/>
                <w:szCs w:val="18"/>
                <w:color w:val="auto"/>
              </w:rPr>
              <w:t>Change in foreign currency translation</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520"/>
              <w:spacing w:after="0"/>
              <w:rPr>
                <w:sz w:val="20"/>
                <w:szCs w:val="20"/>
                <w:color w:val="auto"/>
              </w:rPr>
            </w:pPr>
            <w:r>
              <w:rPr>
                <w:rFonts w:ascii="Arial" w:cs="Arial" w:eastAsia="Arial" w:hAnsi="Arial"/>
                <w:sz w:val="18"/>
                <w:szCs w:val="18"/>
                <w:color w:val="auto"/>
              </w:rPr>
              <w:t>adjustment, net of tax</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7"/>
        </w:trPr>
        <w:tc>
          <w:tcPr>
            <w:tcW w:w="44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211,863,362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213,699,921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215,183,706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215,105,815</w:t>
            </w:r>
          </w:p>
        </w:tc>
        <w:tc>
          <w:tcPr>
            <w:tcW w:w="0" w:type="dxa"/>
            <w:vAlign w:val="bottom"/>
          </w:tcPr>
          <w:p>
            <w:pPr>
              <w:spacing w:after="0"/>
              <w:rPr>
                <w:sz w:val="1"/>
                <w:szCs w:val="1"/>
                <w:color w:val="auto"/>
              </w:rPr>
            </w:pPr>
          </w:p>
        </w:tc>
      </w:tr>
      <w:tr>
        <w:trPr>
          <w:trHeight w:val="37"/>
        </w:trPr>
        <w:tc>
          <w:tcPr>
            <w:tcW w:w="4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214,689,891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215,012,609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217,309,035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215,645,506</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26" w:right="339" w:bottom="1440" w:gutter="0" w:footer="0" w:header="0"/>
          <w:type w:val="continuous"/>
        </w:sectPr>
      </w:pPr>
    </w:p>
    <w:bookmarkStart w:id="8" w:name="page9"/>
    <w:bookmarkEnd w:id="8"/>
    <w:p>
      <w:pPr>
        <w:ind w:left="4820"/>
        <w:spacing w:after="0"/>
        <w:rPr>
          <w:sz w:val="20"/>
          <w:szCs w:val="20"/>
          <w:color w:val="auto"/>
        </w:rPr>
      </w:pPr>
      <w:r>
        <w:rPr>
          <w:rFonts w:ascii="Arial" w:cs="Arial" w:eastAsia="Arial" w:hAnsi="Arial"/>
          <w:sz w:val="20"/>
          <w:szCs w:val="20"/>
          <w:b w:val="1"/>
          <w:bCs w:val="1"/>
          <w:color w:val="auto"/>
        </w:rPr>
        <w:t>Cricut, Inc.</w:t>
      </w:r>
    </w:p>
    <w:p>
      <w:pPr>
        <w:spacing w:after="0" w:line="33"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w:t>
      </w:r>
    </w:p>
    <w:p>
      <w:pPr>
        <w:jc w:val="center"/>
        <w:ind w:right="20"/>
        <w:spacing w:after="0"/>
        <w:rPr>
          <w:sz w:val="20"/>
          <w:szCs w:val="20"/>
          <w:color w:val="auto"/>
        </w:rPr>
      </w:pPr>
      <w:r>
        <w:rPr>
          <w:rFonts w:ascii="Arial" w:cs="Arial" w:eastAsia="Arial" w:hAnsi="Arial"/>
          <w:sz w:val="20"/>
          <w:szCs w:val="20"/>
          <w:b w:val="1"/>
          <w:bCs w:val="1"/>
          <w:i w:val="1"/>
          <w:iCs w:val="1"/>
          <w:color w:val="auto"/>
        </w:rPr>
        <w:t>(in thousands, except share and per share amounts)</w:t>
      </w:r>
    </w:p>
    <w:p>
      <w:pPr>
        <w:spacing w:after="0" w:line="27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4958080</wp:posOffset>
            </wp:positionH>
            <wp:positionV relativeFrom="paragraph">
              <wp:posOffset>38100</wp:posOffset>
            </wp:positionV>
            <wp:extent cx="1808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232,140</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104,774</w:t>
            </w:r>
          </w:p>
        </w:tc>
        <w:tc>
          <w:tcPr>
            <w:tcW w:w="0" w:type="dxa"/>
            <w:vAlign w:val="bottom"/>
          </w:tcPr>
          <w:p>
            <w:pPr>
              <w:spacing w:after="0"/>
              <w:rPr>
                <w:sz w:val="1"/>
                <w:szCs w:val="1"/>
                <w:color w:val="auto"/>
              </w:rPr>
            </w:pPr>
          </w:p>
        </w:tc>
      </w:tr>
      <w:tr>
        <w:trPr>
          <w:trHeight w:val="36"/>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101,980</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115,255</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26,065</w:t>
            </w:r>
          </w:p>
        </w:tc>
        <w:tc>
          <w:tcPr>
            <w:tcW w:w="0" w:type="dxa"/>
            <w:vAlign w:val="bottom"/>
          </w:tcPr>
          <w:p>
            <w:pPr>
              <w:spacing w:after="0"/>
              <w:rPr>
                <w:sz w:val="1"/>
                <w:szCs w:val="1"/>
                <w:color w:val="auto"/>
              </w:rPr>
            </w:pPr>
          </w:p>
        </w:tc>
      </w:tr>
      <w:tr>
        <w:trPr>
          <w:trHeight w:val="241"/>
        </w:trPr>
        <w:tc>
          <w:tcPr>
            <w:tcW w:w="7800" w:type="dxa"/>
            <w:vAlign w:val="bottom"/>
          </w:tcPr>
          <w:p>
            <w:pPr>
              <w:ind w:left="10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499,591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580,214</w:t>
            </w:r>
          </w:p>
        </w:tc>
        <w:tc>
          <w:tcPr>
            <w:tcW w:w="0" w:type="dxa"/>
            <w:vAlign w:val="bottom"/>
          </w:tcPr>
          <w:p>
            <w:pPr>
              <w:spacing w:after="0"/>
              <w:rPr>
                <w:sz w:val="1"/>
                <w:szCs w:val="1"/>
                <w:color w:val="auto"/>
              </w:rPr>
            </w:pPr>
          </w:p>
        </w:tc>
      </w:tr>
      <w:tr>
        <w:trPr>
          <w:trHeight w:val="36"/>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39,186</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37"/>
        </w:trPr>
        <w:tc>
          <w:tcPr>
            <w:tcW w:w="78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580,806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693,035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71,553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53,373</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76,274</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Deferred revenue, current portion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45,427</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lease liabilities, current portion</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Dividends payable, current portion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37"/>
        </w:trPr>
        <w:tc>
          <w:tcPr>
            <w:tcW w:w="78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203,374</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Operating lease liabilities, net of current portion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36"/>
        </w:trPr>
        <w:tc>
          <w:tcPr>
            <w:tcW w:w="78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226,274</w:t>
            </w:r>
          </w:p>
        </w:tc>
        <w:tc>
          <w:tcPr>
            <w:tcW w:w="0" w:type="dxa"/>
            <w:vAlign w:val="bottom"/>
          </w:tcPr>
          <w:p>
            <w:pPr>
              <w:spacing w:after="0"/>
              <w:rPr>
                <w:sz w:val="1"/>
                <w:szCs w:val="1"/>
                <w:color w:val="auto"/>
              </w:rPr>
            </w:pPr>
          </w:p>
        </w:tc>
      </w:tr>
      <w:tr>
        <w:trPr>
          <w:trHeight w:val="247"/>
        </w:trPr>
        <w:tc>
          <w:tcPr>
            <w:tcW w:w="7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800" w:type="dxa"/>
            <w:vAlign w:val="bottom"/>
          </w:tcPr>
          <w:p>
            <w:pPr>
              <w:ind w:left="260"/>
              <w:spacing w:after="0"/>
              <w:rPr>
                <w:sz w:val="20"/>
                <w:szCs w:val="20"/>
                <w:color w:val="auto"/>
              </w:rPr>
            </w:pPr>
            <w:r>
              <w:rPr>
                <w:rFonts w:ascii="Arial" w:cs="Arial" w:eastAsia="Arial" w:hAnsi="Arial"/>
                <w:sz w:val="18"/>
                <w:szCs w:val="18"/>
                <w:color w:val="auto"/>
              </w:rPr>
              <w:t>Preferred stock, par value $0.001 per share, 100,000,000 shares authorized, and no shares</w:t>
            </w:r>
          </w:p>
        </w:tc>
        <w:tc>
          <w:tcPr>
            <w:tcW w:w="340" w:type="dxa"/>
            <w:vAlign w:val="bottom"/>
          </w:tcPr>
          <w:p>
            <w:pPr>
              <w:spacing w:after="0"/>
              <w:rPr>
                <w:sz w:val="20"/>
                <w:szCs w:val="20"/>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800" w:type="dxa"/>
            <w:vAlign w:val="bottom"/>
          </w:tcPr>
          <w:p>
            <w:pPr>
              <w:ind w:left="260"/>
              <w:spacing w:after="0"/>
              <w:rPr>
                <w:sz w:val="20"/>
                <w:szCs w:val="20"/>
                <w:color w:val="auto"/>
              </w:rPr>
            </w:pPr>
            <w:r>
              <w:rPr>
                <w:rFonts w:ascii="Arial" w:cs="Arial" w:eastAsia="Arial" w:hAnsi="Arial"/>
                <w:sz w:val="18"/>
                <w:szCs w:val="18"/>
                <w:color w:val="auto"/>
              </w:rPr>
              <w:t>issued and outstanding as of December 31, 2025 and December 31, 2024.</w:t>
            </w:r>
          </w:p>
        </w:tc>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 par value $0.001 per share, 1,250,000,000 shares authorized as of</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December 31, 2025, 211,336,284 and 213,295,922 shares issued and outstanding as of</w:t>
            </w:r>
          </w:p>
        </w:tc>
        <w:tc>
          <w:tcPr>
            <w:tcW w:w="34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2"/>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December 31, 2025 and 2024,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466,554</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7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7"/>
        </w:trPr>
        <w:tc>
          <w:tcPr>
            <w:tcW w:w="78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343,561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466,761</w:t>
            </w:r>
          </w:p>
        </w:tc>
        <w:tc>
          <w:tcPr>
            <w:tcW w:w="0" w:type="dxa"/>
            <w:vAlign w:val="bottom"/>
          </w:tcPr>
          <w:p>
            <w:pPr>
              <w:spacing w:after="0"/>
              <w:rPr>
                <w:sz w:val="1"/>
                <w:szCs w:val="1"/>
                <w:color w:val="auto"/>
              </w:rPr>
            </w:pPr>
          </w:p>
        </w:tc>
      </w:tr>
      <w:tr>
        <w:trPr>
          <w:trHeight w:val="240"/>
        </w:trPr>
        <w:tc>
          <w:tcPr>
            <w:tcW w:w="780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693,035</w:t>
            </w: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620" w:top="764"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660"/>
          </w:cols>
          <w:pgMar w:left="620" w:top="764" w:right="61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Cricut,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(in thousands)</w:t>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38100</wp:posOffset>
            </wp:positionV>
            <wp:extent cx="1791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76,705</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62,830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and cash equivalents provided by (used in)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ind w:left="260"/>
              <w:spacing w:after="0"/>
              <w:rPr>
                <w:sz w:val="20"/>
                <w:szCs w:val="20"/>
                <w:color w:val="auto"/>
              </w:rPr>
            </w:pPr>
            <w:r>
              <w:rPr>
                <w:rFonts w:ascii="Arial" w:cs="Arial" w:eastAsia="Arial" w:hAnsi="Arial"/>
                <w:sz w:val="14"/>
                <w:szCs w:val="14"/>
                <w:color w:val="auto"/>
              </w:rPr>
              <w:t>Depreciation and amortization (including amortization of debt issuance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29,006</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Bad debt expense/(recoveries, net)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3,285</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Impairments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34,791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45,067</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Deferred income tax</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(4,378)</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4,811</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Provision for inventory obsolescence,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(5,401)</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Unrealized foreign currency (gain) / loss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4,888</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Inventories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149,965</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(7,221)</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(23,120)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Accrued expenses, other current liabilities and other non-current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6,985</w:t>
            </w:r>
          </w:p>
        </w:tc>
        <w:tc>
          <w:tcPr>
            <w:tcW w:w="0" w:type="dxa"/>
            <w:vAlign w:val="bottom"/>
          </w:tcPr>
          <w:p>
            <w:pPr>
              <w:spacing w:after="0"/>
              <w:rPr>
                <w:sz w:val="1"/>
                <w:szCs w:val="1"/>
                <w:color w:val="auto"/>
              </w:rPr>
            </w:pPr>
          </w:p>
        </w:tc>
      </w:tr>
      <w:tr>
        <w:trPr>
          <w:trHeight w:val="208"/>
        </w:trPr>
        <w:tc>
          <w:tcPr>
            <w:tcW w:w="7840" w:type="dxa"/>
            <w:vAlign w:val="bottom"/>
          </w:tcPr>
          <w:p>
            <w:pPr>
              <w:ind w:left="50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(5,365)</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5,018</w:t>
            </w:r>
          </w:p>
        </w:tc>
        <w:tc>
          <w:tcPr>
            <w:tcW w:w="0" w:type="dxa"/>
            <w:vAlign w:val="bottom"/>
          </w:tcPr>
          <w:p>
            <w:pPr>
              <w:spacing w:after="0"/>
              <w:rPr>
                <w:sz w:val="1"/>
                <w:szCs w:val="1"/>
                <w:color w:val="auto"/>
              </w:rPr>
            </w:pPr>
          </w:p>
        </w:tc>
      </w:tr>
      <w:tr>
        <w:trPr>
          <w:trHeight w:val="201"/>
        </w:trPr>
        <w:tc>
          <w:tcPr>
            <w:tcW w:w="7840" w:type="dxa"/>
            <w:vAlign w:val="bottom"/>
          </w:tcPr>
          <w:p>
            <w:pPr>
              <w:ind w:left="500"/>
              <w:spacing w:after="0"/>
              <w:rPr>
                <w:sz w:val="20"/>
                <w:szCs w:val="20"/>
                <w:color w:val="auto"/>
              </w:rPr>
            </w:pPr>
            <w:r>
              <w:rPr>
                <w:rFonts w:ascii="Arial" w:cs="Arial" w:eastAsia="Arial" w:hAnsi="Arial"/>
                <w:sz w:val="14"/>
                <w:szCs w:val="14"/>
                <w:color w:val="auto"/>
              </w:rPr>
              <w:t>Net cash and cash equivalents provided by operating activities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200,230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264,968</w:t>
            </w:r>
          </w:p>
        </w:tc>
        <w:tc>
          <w:tcPr>
            <w:tcW w:w="0" w:type="dxa"/>
            <w:vAlign w:val="bottom"/>
          </w:tcPr>
          <w:p>
            <w:pPr>
              <w:spacing w:after="0"/>
              <w:rPr>
                <w:sz w:val="1"/>
                <w:szCs w:val="1"/>
                <w:color w:val="auto"/>
              </w:rPr>
            </w:pP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ind w:left="260"/>
              <w:spacing w:after="0"/>
              <w:rPr>
                <w:sz w:val="20"/>
                <w:szCs w:val="20"/>
                <w:color w:val="auto"/>
              </w:rPr>
            </w:pPr>
            <w:r>
              <w:rPr>
                <w:rFonts w:ascii="Arial" w:cs="Arial" w:eastAsia="Arial" w:hAnsi="Arial"/>
                <w:sz w:val="14"/>
                <w:szCs w:val="14"/>
                <w:color w:val="auto"/>
              </w:rPr>
              <w:t>Purchase of marketable securities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(110,521)</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Proceeds from maturities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110,527</w:t>
            </w:r>
          </w:p>
        </w:tc>
        <w:tc>
          <w:tcPr>
            <w:tcW w:w="0" w:type="dxa"/>
            <w:vAlign w:val="bottom"/>
          </w:tcPr>
          <w:p>
            <w:pPr>
              <w:spacing w:after="0"/>
              <w:rPr>
                <w:sz w:val="1"/>
                <w:szCs w:val="1"/>
                <w:color w:val="auto"/>
              </w:rPr>
            </w:pPr>
          </w:p>
        </w:tc>
      </w:tr>
      <w:tr>
        <w:trPr>
          <w:trHeight w:val="208"/>
        </w:trPr>
        <w:tc>
          <w:tcPr>
            <w:tcW w:w="7840" w:type="dxa"/>
            <w:vAlign w:val="bottom"/>
          </w:tcPr>
          <w:p>
            <w:pPr>
              <w:ind w:left="140"/>
              <w:spacing w:after="0"/>
              <w:rPr>
                <w:sz w:val="20"/>
                <w:szCs w:val="20"/>
                <w:color w:val="auto"/>
              </w:rPr>
            </w:pPr>
            <w:r>
              <w:rPr>
                <w:rFonts w:ascii="Arial" w:cs="Arial" w:eastAsia="Arial" w:hAnsi="Arial"/>
                <w:sz w:val="14"/>
                <w:szCs w:val="14"/>
                <w:color w:val="auto"/>
              </w:rPr>
              <w:t>Purchases of property and equipment, including capitalized software development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(18,334)</w:t>
            </w:r>
          </w:p>
        </w:tc>
        <w:tc>
          <w:tcPr>
            <w:tcW w:w="0" w:type="dxa"/>
            <w:vAlign w:val="bottom"/>
          </w:tcPr>
          <w:p>
            <w:pPr>
              <w:spacing w:after="0"/>
              <w:rPr>
                <w:sz w:val="1"/>
                <w:szCs w:val="1"/>
                <w:color w:val="auto"/>
              </w:rPr>
            </w:pP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Net cash and cash equivalents provided by (used in)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60,657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(18,328)</w:t>
            </w: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Repurchases of common stock</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(24,748)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(38,493)</w:t>
            </w:r>
          </w:p>
        </w:tc>
        <w:tc>
          <w:tcPr>
            <w:tcW w:w="0" w:type="dxa"/>
            <w:vAlign w:val="bottom"/>
          </w:tcPr>
          <w:p>
            <w:pPr>
              <w:spacing w:after="0"/>
              <w:rPr>
                <w:sz w:val="1"/>
                <w:szCs w:val="1"/>
                <w:color w:val="auto"/>
              </w:rPr>
            </w:pPr>
          </w:p>
        </w:tc>
      </w:tr>
      <w:tr>
        <w:trPr>
          <w:trHeight w:val="208"/>
        </w:trPr>
        <w:tc>
          <w:tcPr>
            <w:tcW w:w="7840" w:type="dxa"/>
            <w:vAlign w:val="bottom"/>
          </w:tcPr>
          <w:p>
            <w:pPr>
              <w:ind w:left="260"/>
              <w:spacing w:after="0"/>
              <w:rPr>
                <w:sz w:val="20"/>
                <w:szCs w:val="20"/>
                <w:color w:val="auto"/>
              </w:rPr>
            </w:pPr>
            <w:r>
              <w:rPr>
                <w:rFonts w:ascii="Arial" w:cs="Arial" w:eastAsia="Arial" w:hAnsi="Arial"/>
                <w:sz w:val="14"/>
                <w:szCs w:val="14"/>
                <w:color w:val="auto"/>
              </w:rPr>
              <w:t>Employee tax withholding payments on stock-based awards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(7,970)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dividend</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(109,972)</w:t>
            </w:r>
          </w:p>
        </w:tc>
        <w:tc>
          <w:tcPr>
            <w:tcW w:w="0" w:type="dxa"/>
            <w:vAlign w:val="bottom"/>
          </w:tcPr>
          <w:p>
            <w:pPr>
              <w:spacing w:after="0"/>
              <w:rPr>
                <w:sz w:val="1"/>
                <w:szCs w:val="1"/>
                <w:color w:val="auto"/>
              </w:rPr>
            </w:pPr>
          </w:p>
        </w:tc>
      </w:tr>
      <w:tr>
        <w:trPr>
          <w:trHeight w:val="201"/>
        </w:trPr>
        <w:tc>
          <w:tcPr>
            <w:tcW w:w="7840" w:type="dxa"/>
            <w:vAlign w:val="bottom"/>
          </w:tcPr>
          <w:p>
            <w:pPr>
              <w:ind w:left="980"/>
              <w:spacing w:after="0"/>
              <w:rPr>
                <w:sz w:val="20"/>
                <w:szCs w:val="20"/>
                <w:color w:val="auto"/>
              </w:rPr>
            </w:pPr>
            <w:r>
              <w:rPr>
                <w:rFonts w:ascii="Arial" w:cs="Arial" w:eastAsia="Arial" w:hAnsi="Arial"/>
                <w:sz w:val="14"/>
                <w:szCs w:val="14"/>
                <w:color w:val="auto"/>
              </w:rPr>
              <w:t>Net cash and cash equivalents used in financing activities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(237,445)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(156,435)</w:t>
            </w:r>
          </w:p>
        </w:tc>
        <w:tc>
          <w:tcPr>
            <w:tcW w:w="0" w:type="dxa"/>
            <w:vAlign w:val="bottom"/>
          </w:tcPr>
          <w:p>
            <w:pPr>
              <w:spacing w:after="0"/>
              <w:rPr>
                <w:sz w:val="1"/>
                <w:szCs w:val="1"/>
                <w:color w:val="auto"/>
              </w:rPr>
            </w:pP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Effect of exchange rate on changes on cash and cash equivalents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1"/>
        </w:trPr>
        <w:tc>
          <w:tcPr>
            <w:tcW w:w="784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24,076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89,953</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232,140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142,187</w:t>
            </w:r>
          </w:p>
        </w:tc>
        <w:tc>
          <w:tcPr>
            <w:tcW w:w="0" w:type="dxa"/>
            <w:vAlign w:val="bottom"/>
          </w:tcPr>
          <w:p>
            <w:pPr>
              <w:spacing w:after="0"/>
              <w:rPr>
                <w:sz w:val="1"/>
                <w:szCs w:val="1"/>
                <w:color w:val="auto"/>
              </w:rPr>
            </w:pPr>
          </w:p>
        </w:tc>
      </w:tr>
      <w:tr>
        <w:trPr>
          <w:trHeight w:val="201"/>
        </w:trPr>
        <w:tc>
          <w:tcPr>
            <w:tcW w:w="78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256,216</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232,140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Cash paid during the period for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40" w:type="dxa"/>
            <w:vAlign w:val="bottom"/>
            <w:vMerge w:val="continue"/>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15,349</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43,596</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660"/>
          </w:cols>
          <w:pgMar w:left="620" w:top="764" w:right="6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Cricut,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Cash Flows (continued)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(in thousands)</w:t>
      </w:r>
    </w:p>
    <w:p>
      <w:pPr>
        <w:spacing w:after="0" w:line="273"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38100</wp:posOffset>
            </wp:positionV>
            <wp:extent cx="1791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6,417</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 included in accounts payable, accrued expenses and other current liabilities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Tax withholdings on stock-based awards included in accrued expenses and other current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40" w:type="dxa"/>
            <w:vAlign w:val="bottom"/>
            <w:vMerge w:val="continue"/>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capitalized for software development costs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Pr>
          <w:p>
            <w:pPr>
              <w:spacing w:after="0"/>
              <w:rPr>
                <w:sz w:val="20"/>
                <w:szCs w:val="20"/>
                <w:color w:val="auto"/>
              </w:rPr>
            </w:pPr>
            <w:r>
              <w:rPr>
                <w:rFonts w:ascii="Arial" w:cs="Arial" w:eastAsia="Arial" w:hAnsi="Arial"/>
                <w:sz w:val="14"/>
                <w:szCs w:val="14"/>
                <w:color w:val="auto"/>
              </w:rPr>
              <w:t>Dividends declared but unpaid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24,413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sectPr>
      <w:pgSz w:w="11900" w:h="16838" w:orient="portrait"/>
      <w:cols w:equalWidth="0" w:num="1">
        <w:col w:w="10660"/>
      </w:cols>
      <w:pgMar w:left="620" w:top="76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2026-03-03T15:41:30Z</dcterms:created>
  <dcterms:modified xsi:type="dcterms:W3CDTF">2026-03-03T15:41:30Z</dcterms:modified>
</cp:coreProperties>
</file>