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321.xml.htm"/>
      <w:bookmarkStart w:id="1" w:name="kswkform4_17912333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Shill Kimball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CRICUT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10855 S. RIVER FRONT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JORDAN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Cricut,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73"/>
        <w:gridCol w:w="373"/>
        <w:gridCol w:w="842"/>
        <w:gridCol w:w="452"/>
        <w:gridCol w:w="752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3,342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3.179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1,662,336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acquired under the Cricut, Inc. Employee Stock Purchase Plan in transactions that were exempt under both Rule 16b-3(d) and Rule 16b-3(c).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Curtin,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9990" TargetMode="External"/><Relationship Id="rId5" Type="http://schemas.openxmlformats.org/officeDocument/2006/relationships/hyperlink" Target="http://www.sec.gov/cgi-bin/browse-edgar?action=getcompany&amp;CIK=00018289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3295</Characters>
  <CharactersWithSpaces>3832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