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5977437.xml.htm"/>
      <w:bookmarkStart w:id="1" w:name="kswkform4_1785977437"/>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Ashish Arora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CRICUT,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10855 SOUTH RIVER FRONT PARKWAY</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SOUTH JORDAN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UT</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84095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Cricut, Inc.</w:t>
              </w:r>
            </w:hyperlink>
            <w:r>
              <w:rPr/>
              <w:t xml:space="preserve"> [ </w:t>
            </w:r>
            <w:r>
              <w:rPr>
                <w:rFonts w:ascii="Times;serif" w:hAnsi="Times;serif"/>
                <w:color w:val="0000FF"/>
                <w:sz w:val="24"/>
                <w:shd w:fill="FFFFFF" w:val="clear"/>
              </w:rPr>
              <w:t>CRCT</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0"/>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Executive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08/03/2026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81"/>
        <w:gridCol w:w="901"/>
        <w:gridCol w:w="773"/>
        <w:gridCol w:w="599"/>
        <w:gridCol w:w="341"/>
        <w:gridCol w:w="957"/>
        <w:gridCol w:w="435"/>
        <w:gridCol w:w="879"/>
        <w:gridCol w:w="1254"/>
        <w:gridCol w:w="973"/>
        <w:gridCol w:w="912"/>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81"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0"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7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5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8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5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7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5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8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08/03/2026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5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60,000</w:t>
            </w:r>
            <w:r>
              <w:rPr>
                <w:rFonts w:ascii="Times;serif" w:hAnsi="Times;serif"/>
                <w:color w:val="008000"/>
                <w:position w:val="7"/>
                <w:sz w:val="16"/>
                <w:sz w:val="20"/>
                <w:shd w:fill="FFFFFF" w:val="clear"/>
              </w:rPr>
              <w:t>(1)</w:t>
            </w:r>
          </w:p>
        </w:tc>
        <w:tc>
          <w:tcPr>
            <w:tcW w:w="4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7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4.7732</w:t>
            </w:r>
            <w:r>
              <w:rPr>
                <w:rFonts w:ascii="Times;serif" w:hAnsi="Times;serif"/>
                <w:color w:val="008000"/>
                <w:position w:val="7"/>
                <w:sz w:val="16"/>
                <w:sz w:val="20"/>
                <w:shd w:fill="FFFFFF" w:val="clear"/>
              </w:rPr>
              <w:t>(2)</w:t>
            </w:r>
          </w:p>
        </w:tc>
        <w:tc>
          <w:tcPr>
            <w:tcW w:w="125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4,327,105</w:t>
            </w:r>
          </w:p>
        </w:tc>
        <w:tc>
          <w:tcPr>
            <w:tcW w:w="9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8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08/04/2026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5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60,000</w:t>
            </w:r>
            <w:r>
              <w:rPr>
                <w:rFonts w:ascii="Times;serif" w:hAnsi="Times;serif"/>
                <w:color w:val="008000"/>
                <w:position w:val="7"/>
                <w:sz w:val="16"/>
                <w:sz w:val="20"/>
                <w:shd w:fill="FFFFFF" w:val="clear"/>
              </w:rPr>
              <w:t>(1)</w:t>
            </w:r>
          </w:p>
        </w:tc>
        <w:tc>
          <w:tcPr>
            <w:tcW w:w="4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7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4.8867</w:t>
            </w:r>
            <w:r>
              <w:rPr>
                <w:rFonts w:ascii="Times;serif" w:hAnsi="Times;serif"/>
                <w:color w:val="008000"/>
                <w:position w:val="7"/>
                <w:sz w:val="16"/>
                <w:sz w:val="20"/>
                <w:shd w:fill="FFFFFF" w:val="clear"/>
              </w:rPr>
              <w:t>(3)</w:t>
            </w:r>
          </w:p>
        </w:tc>
        <w:tc>
          <w:tcPr>
            <w:tcW w:w="125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4,267,105</w:t>
            </w:r>
          </w:p>
        </w:tc>
        <w:tc>
          <w:tcPr>
            <w:tcW w:w="9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8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08/05/2026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5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58,095</w:t>
            </w:r>
            <w:r>
              <w:rPr>
                <w:rFonts w:ascii="Times;serif" w:hAnsi="Times;serif"/>
                <w:color w:val="008000"/>
                <w:position w:val="7"/>
                <w:sz w:val="16"/>
                <w:sz w:val="20"/>
                <w:shd w:fill="FFFFFF" w:val="clear"/>
              </w:rPr>
              <w:t>(1)</w:t>
            </w:r>
          </w:p>
        </w:tc>
        <w:tc>
          <w:tcPr>
            <w:tcW w:w="4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7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5.9757</w:t>
            </w:r>
            <w:r>
              <w:rPr>
                <w:rFonts w:ascii="Times;serif" w:hAnsi="Times;serif"/>
                <w:color w:val="008000"/>
                <w:position w:val="7"/>
                <w:sz w:val="16"/>
                <w:sz w:val="20"/>
                <w:shd w:fill="FFFFFF" w:val="clear"/>
              </w:rPr>
              <w:t>(4)</w:t>
            </w:r>
          </w:p>
        </w:tc>
        <w:tc>
          <w:tcPr>
            <w:tcW w:w="125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4,209,010</w:t>
            </w:r>
          </w:p>
        </w:tc>
        <w:tc>
          <w:tcPr>
            <w:tcW w:w="9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81"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08/05/2026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5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1,905</w:t>
            </w:r>
            <w:r>
              <w:rPr>
                <w:rFonts w:ascii="Times;serif" w:hAnsi="Times;serif"/>
                <w:color w:val="008000"/>
                <w:position w:val="7"/>
                <w:sz w:val="16"/>
                <w:sz w:val="20"/>
                <w:shd w:fill="FFFFFF" w:val="clear"/>
              </w:rPr>
              <w:t>(1)</w:t>
            </w:r>
          </w:p>
        </w:tc>
        <w:tc>
          <w:tcPr>
            <w:tcW w:w="43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7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6.2571</w:t>
            </w:r>
            <w:r>
              <w:rPr>
                <w:rFonts w:ascii="Times;serif" w:hAnsi="Times;serif"/>
                <w:color w:val="008000"/>
                <w:position w:val="7"/>
                <w:sz w:val="16"/>
                <w:sz w:val="20"/>
                <w:shd w:fill="FFFFFF" w:val="clear"/>
              </w:rPr>
              <w:t>(5)</w:t>
            </w:r>
          </w:p>
        </w:tc>
        <w:tc>
          <w:tcPr>
            <w:tcW w:w="125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4,207,105</w:t>
            </w:r>
          </w:p>
        </w:tc>
        <w:tc>
          <w:tcPr>
            <w:tcW w:w="97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sale reported in this Form 4 was effected pursuant to a Rule 10b5-1 trading plan adopted by the reporting person on August 20,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These shares were sold in multiple transactions at prices ranging from $4.7500 to $4.8000, inclusive. The reporting person undertakes to provide to Cricut Inc., any security holder of Cricut Inc.,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in column 4 is a weighted average price. These shares were sold in multiple transactions at prices ranging from $4.7500 to $4.9550, inclusive. The reporting person undertakes to provide to Cricut Inc., any security holder of Cricut Inc.,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price reported in column 4 is a weighted average price. These shares were sold in multiple transactions at prices ranging from $5.2500 to $6.2450, inclusive. The reporting person undertakes to provide to Cricut Inc., any security holder of Cricut Inc.,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price reported in column 4 is a weighted average price. These shares were sold in multiple transactions at prices ranging from $6.2500 to $6.2650, inclusive. The reporting person undertakes to provide to Cricut Inc., any security holder of Cricut Inc., or the staff of the Securities and Exchange Commission, upon request, full information regarding the number of shares sold at each separate price within the range set forth in this footnote.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Lauren Curtin, by power of attorney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851564" TargetMode="External"/><Relationship Id="rId5" Type="http://schemas.openxmlformats.org/officeDocument/2006/relationships/hyperlink" Target="http://www.sec.gov/cgi-bin/browse-edgar?action=getcompany&amp;CIK=000182896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image" Target="https://cdn.kscope.io/box-checked.jpg" TargetMode="External"/><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923</Words>
  <Characters>4911</Characters>
  <CharactersWithSpaces>5737</CharactersWithSpaces>
  <Paragraphs>127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